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450 Fifth Street NW</w:t>
      </w: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29549</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46" w:lineRule="exact"/>
        <w:rPr>
          <w:sz w:val="24"/>
          <w:szCs w:val="24"/>
          <w:color w:val="auto"/>
        </w:rPr>
      </w:pPr>
    </w:p>
    <w:p>
      <w:pPr>
        <w:ind w:left="2240"/>
        <w:spacing w:after="0"/>
        <w:tabs>
          <w:tab w:leader="none" w:pos="63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March 19, 2026</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THE CATO CORPORATION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1"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10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1-31340</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56-0484485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w w:val="97"/>
              </w:rPr>
              <w:t>(State or</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40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Jurisdiction</w:t>
            </w:r>
          </w:p>
        </w:tc>
        <w:tc>
          <w:tcPr>
            <w:tcW w:w="1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4"/>
              </w:rPr>
              <w:t>(Commission</w:t>
            </w:r>
          </w:p>
        </w:tc>
        <w:tc>
          <w:tcPr>
            <w:tcW w:w="180" w:type="dxa"/>
            <w:vAlign w:val="bottom"/>
            <w:vMerge w:val="continue"/>
          </w:tcPr>
          <w:p>
            <w:pPr>
              <w:spacing w:after="0"/>
              <w:rPr>
                <w:sz w:val="15"/>
                <w:szCs w:val="15"/>
                <w:color w:val="auto"/>
              </w:rPr>
            </w:pPr>
          </w:p>
        </w:tc>
        <w:tc>
          <w:tcPr>
            <w:tcW w:w="2840" w:type="dxa"/>
            <w:vAlign w:val="bottom"/>
            <w:gridSpan w:val="2"/>
          </w:tcPr>
          <w:p>
            <w:pPr>
              <w:ind w:left="1860"/>
              <w:spacing w:after="0" w:line="182" w:lineRule="exact"/>
              <w:rPr>
                <w:sz w:val="20"/>
                <w:szCs w:val="20"/>
                <w:color w:val="auto"/>
              </w:rPr>
            </w:pPr>
            <w:r>
              <w:rPr>
                <w:rFonts w:ascii="Times New Roman" w:cs="Times New Roman" w:eastAsia="Times New Roman" w:hAnsi="Times New Roman"/>
                <w:sz w:val="18"/>
                <w:szCs w:val="18"/>
                <w:color w:val="auto"/>
                <w:w w:val="87"/>
              </w:rPr>
              <w:t>(IRS Employer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auto"/>
              </w:rPr>
              <w:t>of Incorporation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auto"/>
              </w:rPr>
              <w:t>File Number)</w:t>
            </w:r>
          </w:p>
        </w:tc>
        <w:tc>
          <w:tcPr>
            <w:tcW w:w="3060" w:type="dxa"/>
            <w:vAlign w:val="bottom"/>
            <w:gridSpan w:val="3"/>
          </w:tcPr>
          <w:p>
            <w:pPr>
              <w:jc w:val="center"/>
              <w:ind w:left="1630"/>
              <w:spacing w:after="0" w:line="182" w:lineRule="exact"/>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gridSpan w:val="2"/>
            <w:shd w:val="clear" w:color="auto" w:fill="000000"/>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8100 Denmark Road, Charlotte, North Carolina</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28273-5975</w:t>
            </w:r>
          </w:p>
        </w:tc>
        <w:tc>
          <w:tcPr>
            <w:tcW w:w="0" w:type="dxa"/>
            <w:vAlign w:val="bottom"/>
          </w:tcPr>
          <w:p>
            <w:pPr>
              <w:spacing w:after="0"/>
              <w:rPr>
                <w:sz w:val="1"/>
                <w:szCs w:val="1"/>
                <w:color w:val="auto"/>
              </w:rPr>
            </w:pPr>
          </w:p>
        </w:tc>
      </w:tr>
      <w:tr>
        <w:trPr>
          <w:trHeight w:val="227"/>
        </w:trPr>
        <w:tc>
          <w:tcPr>
            <w:tcW w:w="3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(704) 554-8510</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6" w:lineRule="exact"/>
        <w:rPr>
          <w:sz w:val="24"/>
          <w:szCs w:val="24"/>
          <w:color w:val="auto"/>
        </w:rPr>
      </w:pPr>
    </w:p>
    <w:p>
      <w:pPr>
        <w:ind w:left="100"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195"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1" w:lineRule="exact"/>
        <w:rPr>
          <w:rFonts w:ascii="MS PGothic" w:cs="MS PGothic" w:eastAsia="MS PGothic" w:hAnsi="MS PGothic"/>
          <w:sz w:val="29"/>
          <w:szCs w:val="29"/>
          <w:color w:val="auto"/>
          <w:vertAlign w:val="superscript"/>
        </w:rPr>
      </w:pPr>
    </w:p>
    <w:p>
      <w:pPr>
        <w:ind w:left="2880" w:right="1540" w:hanging="2776"/>
        <w:spacing w:after="0" w:line="378" w:lineRule="auto"/>
        <w:tabs>
          <w:tab w:leader="none" w:pos="2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 Common Stock, par value $.033 per share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CATO</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6"/>
        </w:trPr>
        <w:tc>
          <w:tcPr>
            <w:tcW w:w="370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4"/>
          <w:szCs w:val="24"/>
          <w:color w:val="auto"/>
        </w:rPr>
      </w:pPr>
    </w:p>
    <w:p>
      <w:pPr>
        <w:ind w:left="100" w:right="2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00" w:right="52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9860"/>
          </w:cols>
          <w:pgMar w:left="980" w:top="1440" w:right="10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highlight w:val="white"/>
        </w:rPr>
        <w:t>Item 2.02. Results of Operations and Financial Condition</w:t>
      </w:r>
    </w:p>
    <w:p>
      <w:pPr>
        <w:spacing w:after="0" w:line="256" w:lineRule="exact"/>
        <w:rPr>
          <w:sz w:val="20"/>
          <w:szCs w:val="20"/>
          <w:color w:val="auto"/>
        </w:rPr>
      </w:pPr>
    </w:p>
    <w:p>
      <w:pPr>
        <w:ind w:left="300" w:right="399"/>
        <w:spacing w:after="0" w:line="265" w:lineRule="auto"/>
        <w:rPr>
          <w:sz w:val="20"/>
          <w:szCs w:val="20"/>
          <w:color w:val="auto"/>
        </w:rPr>
      </w:pPr>
      <w:r>
        <w:rPr>
          <w:rFonts w:ascii="Times New Roman" w:cs="Times New Roman" w:eastAsia="Times New Roman" w:hAnsi="Times New Roman"/>
          <w:sz w:val="18"/>
          <w:szCs w:val="18"/>
          <w:color w:val="auto"/>
        </w:rPr>
        <w:t>On March 19, 2026, The Cato Corporation issued a press release regarding its financial results for the fourth quarter ending January 31, 2026. A copy of this press release is hereby incorporated as Exhibit 99.1 hereto.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563C1"/>
        </w:rPr>
        <w:t>Exhibit 99.1 - Press Release issued March 19, 2026</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Exhibit 104 – Cover Page Interactive Data File (embedded within Inline XBRL document)</w:t>
      </w:r>
    </w:p>
    <w:p>
      <w:pPr>
        <w:sectPr>
          <w:pgSz w:w="11900" w:h="16838" w:orient="portrait"/>
          <w:cols w:equalWidth="0" w:num="1">
            <w:col w:w="9019"/>
          </w:cols>
          <w:pgMar w:left="1440" w:top="1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19"/>
          </w:cols>
          <w:pgMar w:left="1440" w:top="1125"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Signatures</w:t>
      </w:r>
    </w:p>
    <w:p>
      <w:pPr>
        <w:spacing w:after="0" w:line="233"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THE CATO CORPORATION</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23,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John P. D. Cato</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John P. D. Cato</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President and</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23,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Charles D. Knight</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Charles D. Knight</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Vice President</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19"/>
          </w:cols>
          <w:pgMar w:left="1440" w:top="881" w:right="1440" w:bottom="1440" w:gutter="0" w:footer="0" w:header="0"/>
          <w:type w:val="continuous"/>
        </w:sectPr>
      </w:pPr>
    </w:p>
    <w:bookmarkStart w:id="3" w:name="page4"/>
    <w:bookmarkEnd w:id="3"/>
    <w:tbl>
      <w:tblPr>
        <w:tblLayout w:type="fixed"/>
        <w:tblInd w:w="1200" w:type="dxa"/>
        <w:tblCellMar>
          <w:top w:w="0" w:type="dxa"/>
          <w:left w:w="0" w:type="dxa"/>
          <w:bottom w:w="0" w:type="dxa"/>
          <w:right w:w="0" w:type="dxa"/>
        </w:tblCellMar>
      </w:tblPr>
      <w:tr>
        <w:trPr>
          <w:trHeight w:val="282"/>
        </w:trPr>
        <w:tc>
          <w:tcPr>
            <w:tcW w:w="680" w:type="dxa"/>
            <w:vAlign w:val="bottom"/>
          </w:tcPr>
          <w:p>
            <w:pPr>
              <w:spacing w:after="0"/>
              <w:rPr>
                <w:sz w:val="24"/>
                <w:szCs w:val="24"/>
                <w:color w:val="auto"/>
              </w:rPr>
            </w:pPr>
          </w:p>
        </w:tc>
        <w:tc>
          <w:tcPr>
            <w:tcW w:w="4780" w:type="dxa"/>
            <w:vAlign w:val="bottom"/>
            <w:gridSpan w:val="2"/>
          </w:tcPr>
          <w:p>
            <w:pPr>
              <w:ind w:left="2040"/>
              <w:spacing w:after="0"/>
              <w:rPr>
                <w:sz w:val="20"/>
                <w:szCs w:val="20"/>
                <w:color w:val="auto"/>
              </w:rPr>
            </w:pPr>
            <w:r>
              <w:rPr>
                <w:rFonts w:ascii="Times New Roman" w:cs="Times New Roman" w:eastAsia="Times New Roman" w:hAnsi="Times New Roman"/>
                <w:sz w:val="22"/>
                <w:szCs w:val="22"/>
                <w:color w:val="auto"/>
              </w:rPr>
              <w:t>Exhibit Index</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31"/>
        </w:trPr>
        <w:tc>
          <w:tcPr>
            <w:tcW w:w="5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r>
      <w:tr>
        <w:trPr>
          <w:trHeight w:val="20"/>
        </w:trPr>
        <w:tc>
          <w:tcPr>
            <w:tcW w:w="6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346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20"/>
                <w:szCs w:val="20"/>
                <w:color w:val="0563C1"/>
                <w:w w:val="98"/>
              </w:rPr>
              <w:t>99.</w:t>
            </w:r>
            <w:r>
              <w:rPr>
                <w:rFonts w:ascii="Times New Roman" w:cs="Times New Roman" w:eastAsia="Times New Roman" w:hAnsi="Times New Roman"/>
                <w:sz w:val="20"/>
                <w:szCs w:val="20"/>
                <w:u w:val="single" w:color="auto"/>
                <w:color w:val="0563C1"/>
                <w:w w:val="98"/>
              </w:rPr>
              <w:t>1</w:t>
            </w:r>
            <w:r>
              <w:rPr>
                <w:rFonts w:ascii="Times New Roman" w:cs="Times New Roman" w:eastAsia="Times New Roman" w:hAnsi="Times New Roman"/>
                <w:sz w:val="20"/>
                <w:szCs w:val="20"/>
                <w:color w:val="0563C1"/>
                <w:w w:val="98"/>
              </w:rPr>
              <w:t xml:space="preserve"> - Press Release issued March 19, 2026</w:t>
            </w:r>
          </w:p>
        </w:tc>
        <w:tc>
          <w:tcPr>
            <w:tcW w:w="200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99.1</w:t>
            </w:r>
          </w:p>
        </w:tc>
        <w:tc>
          <w:tcPr>
            <w:tcW w:w="40" w:type="dxa"/>
            <w:vAlign w:val="bottom"/>
          </w:tcPr>
          <w:p>
            <w:pPr>
              <w:spacing w:after="0"/>
              <w:rPr>
                <w:sz w:val="24"/>
                <w:szCs w:val="24"/>
                <w:color w:val="auto"/>
              </w:rPr>
            </w:pPr>
          </w:p>
        </w:tc>
      </w:tr>
      <w:tr>
        <w:trPr>
          <w:trHeight w:val="658"/>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104 Cover page Interactive Data File (embedded within Inline</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104</w:t>
            </w:r>
          </w:p>
        </w:tc>
        <w:tc>
          <w:tcPr>
            <w:tcW w:w="40" w:type="dxa"/>
            <w:vAlign w:val="bottom"/>
          </w:tcPr>
          <w:p>
            <w:pPr>
              <w:spacing w:after="0"/>
              <w:rPr>
                <w:sz w:val="24"/>
                <w:szCs w:val="24"/>
                <w:color w:val="auto"/>
              </w:rPr>
            </w:pPr>
          </w:p>
        </w:tc>
      </w:tr>
      <w:tr>
        <w:trPr>
          <w:trHeight w:val="259"/>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XBRL document)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1125"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019"/>
          </w:cols>
          <w:pgMar w:left="1440" w:top="1125" w:right="1440"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NEWS RELEASE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IMMEDIATE RELEASE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 Contact: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Charles D. Knight</w:t>
      </w:r>
    </w:p>
    <w:p>
      <w:pPr>
        <w:ind w:left="660"/>
        <w:spacing w:after="0" w:line="225" w:lineRule="auto"/>
        <w:rPr>
          <w:sz w:val="20"/>
          <w:szCs w:val="20"/>
          <w:color w:val="auto"/>
        </w:rPr>
      </w:pPr>
      <w:r>
        <w:rPr>
          <w:rFonts w:ascii="Times New Roman" w:cs="Times New Roman" w:eastAsia="Times New Roman" w:hAnsi="Times New Roman"/>
          <w:sz w:val="20"/>
          <w:szCs w:val="20"/>
          <w:color w:val="auto"/>
        </w:rPr>
        <w:t>Executive Vice President</w:t>
      </w:r>
    </w:p>
    <w:p>
      <w:pPr>
        <w:ind w:left="660"/>
        <w:spacing w:after="0"/>
        <w:rPr>
          <w:sz w:val="20"/>
          <w:szCs w:val="20"/>
          <w:color w:val="auto"/>
        </w:rPr>
      </w:pPr>
      <w:r>
        <w:rPr>
          <w:rFonts w:ascii="Times New Roman" w:cs="Times New Roman" w:eastAsia="Times New Roman" w:hAnsi="Times New Roman"/>
          <w:sz w:val="20"/>
          <w:szCs w:val="20"/>
          <w:color w:val="auto"/>
        </w:rPr>
        <w:t>Chief Financial Officer</w:t>
      </w:r>
    </w:p>
    <w:p>
      <w:pPr>
        <w:ind w:left="660"/>
        <w:spacing w:after="0"/>
        <w:rPr>
          <w:sz w:val="20"/>
          <w:szCs w:val="20"/>
          <w:color w:val="auto"/>
        </w:rPr>
      </w:pPr>
      <w:r>
        <w:rPr>
          <w:rFonts w:ascii="Times New Roman" w:cs="Times New Roman" w:eastAsia="Times New Roman" w:hAnsi="Times New Roman"/>
          <w:sz w:val="20"/>
          <w:szCs w:val="20"/>
          <w:color w:val="auto"/>
        </w:rPr>
        <w:t>InvestorRelations@catocorp.com</w:t>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CATO REPORTS 4Q AND FULL YEAR LOSS</w:t>
      </w:r>
    </w:p>
    <w:p>
      <w:pPr>
        <w:spacing w:after="0" w:line="247" w:lineRule="exact"/>
        <w:rPr>
          <w:sz w:val="20"/>
          <w:szCs w:val="20"/>
          <w:color w:val="auto"/>
        </w:rPr>
      </w:pPr>
    </w:p>
    <w:p>
      <w:pPr>
        <w:jc w:val="both"/>
        <w:ind w:right="620"/>
        <w:spacing w:after="0" w:line="287" w:lineRule="auto"/>
        <w:rPr>
          <w:sz w:val="20"/>
          <w:szCs w:val="20"/>
          <w:color w:val="auto"/>
        </w:rPr>
      </w:pPr>
      <w:r>
        <w:rPr>
          <w:rFonts w:ascii="Times New Roman" w:cs="Times New Roman" w:eastAsia="Times New Roman" w:hAnsi="Times New Roman"/>
          <w:sz w:val="19"/>
          <w:szCs w:val="19"/>
          <w:color w:val="auto"/>
        </w:rPr>
        <w:t xml:space="preserve">CHARLOTTE, N.C. (March 19, 2026) – The Cato Corporation (NYSE: CATO) today reported a net loss of ($10.7) million or ($0.55) per diluted share for the fourth quarter ended January 31, 2026, compared to a net loss of ($14.1) million or ($0.74) per diluted share for the fourth quarter ended February 1, 2025. </w:t>
      </w:r>
      <w:r>
        <w:rPr>
          <w:rFonts w:ascii="Times New Roman" w:cs="Times New Roman" w:eastAsia="Times New Roman" w:hAnsi="Times New Roman"/>
          <w:sz w:val="19"/>
          <w:szCs w:val="19"/>
          <w:color w:val="333333"/>
        </w:rPr>
        <w:t>Full-year fiscal 2025 net loss</w:t>
      </w:r>
    </w:p>
    <w:p>
      <w:pPr>
        <w:spacing w:after="0" w:line="2"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20"/>
          <w:szCs w:val="20"/>
          <w:color w:val="333333"/>
        </w:rPr>
        <w:t>was ($5.9) million or ($0.31) per diluted share compared to a net loss of ($18.1) million or ($0.97) per diluted share for 2024.</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0"/>
          <w:szCs w:val="20"/>
          <w:color w:val="auto"/>
        </w:rPr>
        <w:t xml:space="preserve">Sales for the fourth quarter ended January 31, 2026 were $150.0 million, a decrease of 3.4% from sales of $155.3 million for the fourth quarter ended February 1, 2025. Same-store sales for the fourth quarter were flat compared to 2024. </w:t>
      </w:r>
      <w:r>
        <w:rPr>
          <w:rFonts w:ascii="Times New Roman" w:cs="Times New Roman" w:eastAsia="Times New Roman" w:hAnsi="Times New Roman"/>
          <w:sz w:val="20"/>
          <w:szCs w:val="20"/>
          <w:color w:val="333333"/>
        </w:rPr>
        <w:t>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33333"/>
        </w:rPr>
        <w:t xml:space="preserve">year, the Company's sales increased 0.7% to $646.8 million from 2024 sales of $642.1 million. </w:t>
      </w:r>
      <w:r>
        <w:rPr>
          <w:rFonts w:ascii="Times New Roman" w:cs="Times New Roman" w:eastAsia="Times New Roman" w:hAnsi="Times New Roman"/>
          <w:sz w:val="20"/>
          <w:szCs w:val="20"/>
          <w:color w:val="000000"/>
        </w:rPr>
        <w:t>Year-to-date same-store</w:t>
      </w:r>
      <w:r>
        <w:rPr>
          <w:rFonts w:ascii="Times New Roman" w:cs="Times New Roman" w:eastAsia="Times New Roman" w:hAnsi="Times New Roman"/>
          <w:sz w:val="20"/>
          <w:szCs w:val="20"/>
          <w:color w:val="333333"/>
        </w:rPr>
        <w:t xml:space="preserve"> </w:t>
      </w:r>
      <w:r>
        <w:rPr>
          <w:rFonts w:ascii="Times New Roman" w:cs="Times New Roman" w:eastAsia="Times New Roman" w:hAnsi="Times New Roman"/>
          <w:sz w:val="20"/>
          <w:szCs w:val="20"/>
          <w:color w:val="000000"/>
        </w:rPr>
        <w:t>sales increased 4% compared to 2024.</w:t>
      </w:r>
    </w:p>
    <w:p>
      <w:pPr>
        <w:spacing w:after="0" w:line="22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333333"/>
        </w:rPr>
        <w:t xml:space="preserve">"Compared to 2024, </w:t>
      </w:r>
      <w:r>
        <w:rPr>
          <w:rFonts w:ascii="Times New Roman" w:cs="Times New Roman" w:eastAsia="Times New Roman" w:hAnsi="Times New Roman"/>
          <w:sz w:val="20"/>
          <w:szCs w:val="20"/>
          <w:color w:val="000000"/>
        </w:rPr>
        <w:t>our fiscal 2025 sales trend was encouraging although 2024 was negatively impacted by supply chain</w:t>
      </w:r>
      <w:r>
        <w:rPr>
          <w:rFonts w:ascii="Times New Roman" w:cs="Times New Roman" w:eastAsia="Times New Roman" w:hAnsi="Times New Roman"/>
          <w:sz w:val="20"/>
          <w:szCs w:val="20"/>
          <w:color w:val="333333"/>
        </w:rPr>
        <w:t xml:space="preserve"> </w:t>
      </w:r>
      <w:r>
        <w:rPr>
          <w:rFonts w:ascii="Times New Roman" w:cs="Times New Roman" w:eastAsia="Times New Roman" w:hAnsi="Times New Roman"/>
          <w:sz w:val="20"/>
          <w:szCs w:val="20"/>
          <w:color w:val="000000"/>
        </w:rPr>
        <w:t>interruptions which caused late merchandise to our stores, as well as more severe weather events including three hurricanes,</w:t>
      </w:r>
      <w:r>
        <w:rPr>
          <w:rFonts w:ascii="Times New Roman" w:cs="Times New Roman" w:eastAsia="Times New Roman" w:hAnsi="Times New Roman"/>
          <w:sz w:val="20"/>
          <w:szCs w:val="20"/>
          <w:color w:val="333333"/>
        </w:rPr>
        <w:t>” said John Cato, Chairman, President, and Chief Executive Officer. “During 2025 we continued to focus 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333333"/>
        </w:rPr>
        <w:t>improving our merchandise offering, serving the customer, controlling expenses, and leveraging the investments in our store and distribution center technologies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333333"/>
        </w:rPr>
        <w:t>”</w:t>
      </w:r>
    </w:p>
    <w:p>
      <w:pPr>
        <w:spacing w:after="0" w:line="23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color w:val="333333"/>
        </w:rPr>
        <w:t xml:space="preserve">Fourth-quarter gross margin increased from 28.0% of sales in 2024 to 29.2% of sales in 2025 primarily due to decreases in payroll and occupancy costs, partially offset by higher sales of markdown product. </w:t>
      </w:r>
      <w:r>
        <w:rPr>
          <w:rFonts w:ascii="Times New Roman" w:cs="Times New Roman" w:eastAsia="Times New Roman" w:hAnsi="Times New Roman"/>
          <w:sz w:val="20"/>
          <w:szCs w:val="20"/>
          <w:color w:val="000000"/>
        </w:rPr>
        <w:t>Selling, general and administrative</w:t>
      </w:r>
      <w:r>
        <w:rPr>
          <w:rFonts w:ascii="Times New Roman" w:cs="Times New Roman" w:eastAsia="Times New Roman" w:hAnsi="Times New Roman"/>
          <w:sz w:val="20"/>
          <w:szCs w:val="20"/>
          <w:color w:val="333333"/>
        </w:rPr>
        <w:t xml:space="preserve"> </w:t>
      </w:r>
      <w:r>
        <w:rPr>
          <w:rFonts w:ascii="Times New Roman" w:cs="Times New Roman" w:eastAsia="Times New Roman" w:hAnsi="Times New Roman"/>
          <w:sz w:val="20"/>
          <w:szCs w:val="20"/>
          <w:color w:val="000000"/>
        </w:rPr>
        <w:t xml:space="preserve">(SG&amp;A) expenses decreased $1.9 million in the quarter. SG&amp;A as a percent of sales increased slightly from 37.8% in 2024 to 37.9% in 2025 during the quarter. </w:t>
      </w:r>
      <w:r>
        <w:rPr>
          <w:rFonts w:ascii="Times New Roman" w:cs="Times New Roman" w:eastAsia="Times New Roman" w:hAnsi="Times New Roman"/>
          <w:sz w:val="20"/>
          <w:szCs w:val="20"/>
          <w:color w:val="333333"/>
        </w:rPr>
        <w:t>Income tax benefit for the quarter was $1.1 million compare</w:t>
      </w:r>
      <w:r>
        <w:rPr>
          <w:rFonts w:ascii="Times New Roman" w:cs="Times New Roman" w:eastAsia="Times New Roman" w:hAnsi="Times New Roman"/>
          <w:sz w:val="20"/>
          <w:szCs w:val="20"/>
          <w:color w:val="000000"/>
        </w:rPr>
        <w:t>d to expense of $0.3 million last year.</w:t>
      </w:r>
    </w:p>
    <w:p>
      <w:pPr>
        <w:spacing w:after="0" w:line="2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0"/>
          <w:szCs w:val="20"/>
          <w:color w:val="333333"/>
        </w:rPr>
        <w:t xml:space="preserve">For the full year 2025, gross margin increased from 32.0% of sales in 2024 to 33.3% of sales in 2025. This increase was in part due to </w:t>
      </w:r>
      <w:r>
        <w:rPr>
          <w:rFonts w:ascii="Times New Roman" w:cs="Times New Roman" w:eastAsia="Times New Roman" w:hAnsi="Times New Roman"/>
          <w:sz w:val="20"/>
          <w:szCs w:val="20"/>
          <w:color w:val="000000"/>
        </w:rPr>
        <w:t>lower payroll, distribution, and</w:t>
      </w:r>
      <w:r>
        <w:rPr>
          <w:rFonts w:ascii="Times New Roman" w:cs="Times New Roman" w:eastAsia="Times New Roman" w:hAnsi="Times New Roman"/>
          <w:sz w:val="20"/>
          <w:szCs w:val="20"/>
          <w:color w:val="333333"/>
        </w:rPr>
        <w:t xml:space="preserve"> freight costs, partially offset by higher sales of markdown product. SG&amp;A expenses decreased to 35.0% of sales in 2025 compared to 36.0% of sales in 2024. The SG&amp;A decrease was primarily due to </w:t>
      </w:r>
      <w:r>
        <w:rPr>
          <w:rFonts w:ascii="Times New Roman" w:cs="Times New Roman" w:eastAsia="Times New Roman" w:hAnsi="Times New Roman"/>
          <w:sz w:val="20"/>
          <w:szCs w:val="20"/>
          <w:color w:val="000000"/>
        </w:rPr>
        <w:t>lower payroll costs, closed store, and impairment expenses.</w:t>
      </w:r>
      <w:r>
        <w:rPr>
          <w:rFonts w:ascii="Times New Roman" w:cs="Times New Roman" w:eastAsia="Times New Roman" w:hAnsi="Times New Roman"/>
          <w:sz w:val="20"/>
          <w:szCs w:val="20"/>
          <w:color w:val="333333"/>
        </w:rPr>
        <w:t xml:space="preserve"> For the year, </w:t>
      </w:r>
      <w:r>
        <w:rPr>
          <w:rFonts w:ascii="Times New Roman" w:cs="Times New Roman" w:eastAsia="Times New Roman" w:hAnsi="Times New Roman"/>
          <w:sz w:val="20"/>
          <w:szCs w:val="20"/>
          <w:color w:val="000000"/>
        </w:rPr>
        <w:t>SG&amp;A expenses decreased $5.0 million.</w:t>
      </w:r>
      <w:r>
        <w:rPr>
          <w:rFonts w:ascii="Times New Roman" w:cs="Times New Roman" w:eastAsia="Times New Roman" w:hAnsi="Times New Roman"/>
          <w:sz w:val="20"/>
          <w:szCs w:val="20"/>
          <w:color w:val="333333"/>
        </w:rPr>
        <w:t xml:space="preserve"> Income tax benefit for the year was $1.6 million compared to expense of $1.9 million las</w:t>
      </w:r>
      <w:r>
        <w:rPr>
          <w:rFonts w:ascii="Times New Roman" w:cs="Times New Roman" w:eastAsia="Times New Roman" w:hAnsi="Times New Roman"/>
          <w:sz w:val="20"/>
          <w:szCs w:val="20"/>
          <w:color w:val="000000"/>
        </w:rPr>
        <w:t>t year.</w:t>
      </w:r>
    </w:p>
    <w:p>
      <w:pPr>
        <w:spacing w:after="0" w:line="1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0"/>
          <w:szCs w:val="20"/>
          <w:color w:val="auto"/>
        </w:rPr>
        <w:t>“As we look ahead to 2026, we are focused on improving our merchandise assortment including new product offerings, leveraging our investments in technology, especially in our stores and the distribution center, while continuing to provide excellent customer service,” stated Mr. Cato. “Our 2026 outlook is tempered by the current economic uncertainties and continued pressure on our customers’ disposable income.”</w:t>
      </w:r>
    </w:p>
    <w:p>
      <w:pPr>
        <w:sectPr>
          <w:pgSz w:w="11900" w:h="16838" w:orient="portrait"/>
          <w:cols w:equalWidth="0" w:num="1">
            <w:col w:w="9820"/>
          </w:cols>
          <w:pgMar w:left="1080" w:top="1111" w:right="999" w:bottom="1440" w:gutter="0" w:footer="0" w:header="0"/>
        </w:sectPr>
      </w:pPr>
    </w:p>
    <w:bookmarkStart w:id="5" w:name="page6"/>
    <w:bookmarkEnd w:id="5"/>
    <w:p>
      <w:pPr>
        <w:ind w:right="320"/>
        <w:spacing w:after="0" w:line="28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During 2025, the Company closed 48 stores. As of January 31, 2026, the Company operated 1,069 stores in 31 states, compared to 1,117 stores in 31 states as of February 1, 2025. During 2026, the Company plans to open up to 10 new stores and close up to 40 underperforming stores as leases expire. These store closings are anticipated to have minimal financial impact.</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Cato Corporation is a leading specialty retailer of value-priced fashion apparel and accessories operating three concepts, “Cato,” “Versona” and “It’s Fashion.” The Company’s Cato stores offer exclusive merchandise with fashion and quality comparable to mall specialty stores at low prices every day. The Company also offers exclusive merchandise found in its Cato stores at www.catofashions.com. Versona is a unique fashion destination offering apparel and accessories including jewelry, handbags, and shoes at exceptional prices every day. Select Versona merchandise can also be found at www.shopversona.com. It’s Fashion offers fashion with a focus on the latest trendy styles for the entire family at low prices every day.</w:t>
      </w:r>
    </w:p>
    <w:p>
      <w:pPr>
        <w:sectPr>
          <w:pgSz w:w="11900" w:h="16838" w:orient="portrait"/>
          <w:cols w:equalWidth="0" w:num="1">
            <w:col w:w="9720"/>
          </w:cols>
          <w:pgMar w:left="1080" w:top="885" w:right="1099" w:bottom="1440" w:gutter="0" w:footer="0" w:header="0"/>
        </w:sectPr>
      </w:pPr>
    </w:p>
    <w:bookmarkStart w:id="6" w:name="page7"/>
    <w:bookmarkEnd w:id="6"/>
    <w:p>
      <w:pPr>
        <w:spacing w:after="0" w:line="275" w:lineRule="auto"/>
        <w:rPr>
          <w:sz w:val="20"/>
          <w:szCs w:val="20"/>
          <w:color w:val="auto"/>
        </w:rPr>
      </w:pPr>
      <w:r>
        <w:rPr>
          <w:rFonts w:ascii="Times New Roman" w:cs="Times New Roman" w:eastAsia="Times New Roman" w:hAnsi="Times New Roman"/>
          <w:sz w:val="20"/>
          <w:szCs w:val="20"/>
          <w:i w:val="1"/>
          <w:iCs w:val="1"/>
          <w:color w:val="333333"/>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Statements in this press release that express a belief, expectation or intention, as well as those that are not a historical fact, </w:t>
      </w:r>
      <w:r>
        <w:rPr>
          <w:rFonts w:ascii="Times New Roman" w:cs="Times New Roman" w:eastAsia="Times New Roman" w:hAnsi="Times New Roman"/>
          <w:sz w:val="20"/>
          <w:szCs w:val="20"/>
          <w:i w:val="1"/>
          <w:iCs w:val="1"/>
          <w:color w:val="000000"/>
        </w:rPr>
        <w:t>including, without limitation, statements regarding the Company’s expected or estimated operational financial</w:t>
      </w:r>
      <w:r>
        <w:rPr>
          <w:rFonts w:ascii="Times New Roman" w:cs="Times New Roman" w:eastAsia="Times New Roman" w:hAnsi="Times New Roman"/>
          <w:sz w:val="20"/>
          <w:szCs w:val="20"/>
          <w:i w:val="1"/>
          <w:iCs w:val="1"/>
          <w:color w:val="333333"/>
        </w:rPr>
        <w:t xml:space="preserve"> </w:t>
      </w:r>
      <w:r>
        <w:rPr>
          <w:rFonts w:ascii="Times New Roman" w:cs="Times New Roman" w:eastAsia="Times New Roman" w:hAnsi="Times New Roman"/>
          <w:sz w:val="20"/>
          <w:szCs w:val="20"/>
          <w:i w:val="1"/>
          <w:iCs w:val="1"/>
          <w:color w:val="000000"/>
        </w:rPr>
        <w:t>results, activities or opportunities, and potential impacts and effects of events, risks or contingencies are considered “forward-looking” within the meaning of The Private Securities Litigation Reform Act of 1995. Such forward-looking statements are based on current expectations that are subject to known and unknown risks, uncertainties and other factors that could cause actual results to differ materially from those contemplated by the forward-looking statements. Such factors include, but are not limited to, any actual or perceived deterioration in the conditions that drive consumer confidence and spending, including, but not limited to, prevailing social, economic, political and public health conditions and uncertainties, levels of unemployment, fuel, energy and food costs, inflation, wage rates, tax rates, interest rates, home values, consumer net worth and the availability of credit; changes in laws or regulations affecting our business, including but not limited to tariffs and taxes; uncertainties regarding the impact of any governmental action regarding, or responses to, the foregoing conditions; competitive factors and pricing pressures; our ability to predict and respond to rapidly changing fashion trends and consumer demands; our ability to open new stores in attractive locations and the ability of any such new stores to grow and perform as expected; underperformance or other factors that may lead to a continuation or acceleration of store closures and negative affect on the Company’s profitability; adverse weather, public health threats, acts of war or aggression or similar conditions that may affect our sales or operations; inventory risks due to shifts in market demand, including the ability to liquidate excess inventory at anticipated margins; and other factors discussed under “Risk Factors” in Part I, Item 1A of the Company’s most recently filed annual report on Form 10-K and in other reports the Company files with or furnishes to the SEC from time to time. The Company does not undertake to publicly update or revise the forward-looking statements even if experience or future changes make it clear that the projected results expressed or implied therein will not be realized. The Company is not responsible for any changes made to this press release by wire or Internet services.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ectPr>
          <w:pgSz w:w="11900" w:h="16838" w:orient="portrait"/>
          <w:cols w:equalWidth="0" w:num="1">
            <w:col w:w="9720"/>
          </w:cols>
          <w:pgMar w:left="1080" w:top="1138"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(UNAUDITED)</w:t>
      </w:r>
    </w:p>
    <w:p>
      <w:pPr>
        <w:spacing w:after="0" w:line="231" w:lineRule="auto"/>
        <w:rPr>
          <w:sz w:val="20"/>
          <w:szCs w:val="20"/>
          <w:color w:val="auto"/>
        </w:rPr>
      </w:pPr>
      <w:r>
        <w:rPr>
          <w:rFonts w:ascii="Times New Roman" w:cs="Times New Roman" w:eastAsia="Times New Roman" w:hAnsi="Times New Roman"/>
          <w:sz w:val="20"/>
          <w:szCs w:val="20"/>
          <w:b w:val="1"/>
          <w:bCs w:val="1"/>
          <w:color w:val="auto"/>
        </w:rPr>
        <w:t>FOR THE PERIODS ENDED January 31, 2026 AND February 1, 2025</w:t>
      </w:r>
    </w:p>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44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February 1,</w:t>
            </w: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February 1,</w:t>
            </w: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66"/>
        </w:trPr>
        <w:tc>
          <w:tcPr>
            <w:tcW w:w="2440" w:type="dxa"/>
            <w:vAlign w:val="bottom"/>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9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9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4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Retail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150,019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155,292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646,830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642,140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revenue (principally finance,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late fees and layaway charges)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2,617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6,982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7,666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412"/>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151,659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101.1%</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157,909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653,812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101.1%</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649,806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429"/>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 (Memo)</w:t>
            </w:r>
          </w:p>
        </w:tc>
        <w:tc>
          <w:tcPr>
            <w:tcW w:w="16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43,770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43,434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215,279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205,700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 NET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106,249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111,858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431,551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436,440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56,792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58,680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226,462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231,489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2,454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9,986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9,817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9"/>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(6,687)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412"/>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and expenses, net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163,583</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109.0%</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171,631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661,312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102.2%</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665,919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645"/>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(11,924)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415"/>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(1,063)</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412"/>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(10,861)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(5,909)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(0.55)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(0.55)</w:t>
            </w:r>
          </w:p>
        </w:tc>
        <w:tc>
          <w:tcPr>
            <w:tcW w:w="5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5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5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79"/>
          </w:cols>
          <w:pgMar w:left="1080" w:top="88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THE CATO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w:t>
            </w:r>
          </w:p>
        </w:tc>
        <w:tc>
          <w:tcPr>
            <w:tcW w:w="0" w:type="dxa"/>
            <w:vAlign w:val="bottom"/>
          </w:tcPr>
          <w:p>
            <w:pPr>
              <w:spacing w:after="0"/>
              <w:rPr>
                <w:sz w:val="1"/>
                <w:szCs w:val="1"/>
                <w:color w:val="auto"/>
              </w:rPr>
            </w:pPr>
          </w:p>
        </w:tc>
      </w:tr>
      <w:tr>
        <w:trPr>
          <w:trHeight w:val="224"/>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222"/>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(Unaudited)</w:t>
            </w:r>
          </w:p>
        </w:tc>
        <w:tc>
          <w:tcPr>
            <w:tcW w:w="0" w:type="dxa"/>
            <w:vAlign w:val="bottom"/>
          </w:tcPr>
          <w:p>
            <w:pPr>
              <w:spacing w:after="0"/>
              <w:rPr>
                <w:sz w:val="1"/>
                <w:szCs w:val="1"/>
                <w:color w:val="auto"/>
              </w:rPr>
            </w:pPr>
          </w:p>
        </w:tc>
      </w:tr>
      <w:tr>
        <w:trPr>
          <w:trHeight w:val="487"/>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16,788</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20,279</w:t>
            </w:r>
          </w:p>
        </w:tc>
        <w:tc>
          <w:tcPr>
            <w:tcW w:w="0" w:type="dxa"/>
            <w:vAlign w:val="bottom"/>
          </w:tcPr>
          <w:p>
            <w:pPr>
              <w:spacing w:after="0"/>
              <w:rPr>
                <w:sz w:val="1"/>
                <w:szCs w:val="1"/>
                <w:color w:val="auto"/>
              </w:rPr>
            </w:pPr>
          </w:p>
        </w:tc>
      </w:tr>
      <w:tr>
        <w:trPr>
          <w:trHeight w:val="243"/>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56,859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57,423</w:t>
            </w:r>
          </w:p>
        </w:tc>
        <w:tc>
          <w:tcPr>
            <w:tcW w:w="0" w:type="dxa"/>
            <w:vAlign w:val="bottom"/>
          </w:tcPr>
          <w:p>
            <w:pPr>
              <w:spacing w:after="0"/>
              <w:rPr>
                <w:sz w:val="1"/>
                <w:szCs w:val="1"/>
                <w:color w:val="auto"/>
              </w:rPr>
            </w:pPr>
          </w:p>
        </w:tc>
      </w:tr>
      <w:tr>
        <w:trPr>
          <w:trHeight w:val="243"/>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43"/>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Accounts receivable - net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25,462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24,540</w:t>
            </w:r>
          </w:p>
        </w:tc>
        <w:tc>
          <w:tcPr>
            <w:tcW w:w="0" w:type="dxa"/>
            <w:vAlign w:val="bottom"/>
          </w:tcPr>
          <w:p>
            <w:pPr>
              <w:spacing w:after="0"/>
              <w:rPr>
                <w:sz w:val="1"/>
                <w:szCs w:val="1"/>
                <w:color w:val="auto"/>
              </w:rPr>
            </w:pPr>
          </w:p>
        </w:tc>
      </w:tr>
      <w:tr>
        <w:trPr>
          <w:trHeight w:val="243"/>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Merchandise inventories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83,696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110,739</w:t>
            </w:r>
          </w:p>
        </w:tc>
        <w:tc>
          <w:tcPr>
            <w:tcW w:w="0" w:type="dxa"/>
            <w:vAlign w:val="bottom"/>
          </w:tcPr>
          <w:p>
            <w:pPr>
              <w:spacing w:after="0"/>
              <w:rPr>
                <w:sz w:val="1"/>
                <w:szCs w:val="1"/>
                <w:color w:val="auto"/>
              </w:rPr>
            </w:pPr>
          </w:p>
        </w:tc>
      </w:tr>
      <w:tr>
        <w:trPr>
          <w:trHeight w:val="222"/>
        </w:trPr>
        <w:tc>
          <w:tcPr>
            <w:tcW w:w="5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0" w:type="dxa"/>
            <w:vAlign w:val="bottom"/>
          </w:tcPr>
          <w:p>
            <w:pPr>
              <w:spacing w:after="0"/>
              <w:rPr>
                <w:sz w:val="1"/>
                <w:szCs w:val="1"/>
                <w:color w:val="auto"/>
              </w:rPr>
            </w:pPr>
          </w:p>
        </w:tc>
      </w:tr>
      <w:tr>
        <w:trPr>
          <w:trHeight w:val="487"/>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193,267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223,186</w:t>
            </w: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53,748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20,471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0" w:type="dxa"/>
            <w:vAlign w:val="bottom"/>
          </w:tcPr>
          <w:p>
            <w:pPr>
              <w:spacing w:after="0"/>
              <w:rPr>
                <w:sz w:val="1"/>
                <w:szCs w:val="1"/>
                <w:color w:val="auto"/>
              </w:rPr>
            </w:pPr>
          </w:p>
        </w:tc>
      </w:tr>
      <w:tr>
        <w:trPr>
          <w:trHeight w:val="465"/>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153,933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148,870</w:t>
            </w:r>
          </w:p>
        </w:tc>
        <w:tc>
          <w:tcPr>
            <w:tcW w:w="0" w:type="dxa"/>
            <w:vAlign w:val="bottom"/>
          </w:tcPr>
          <w:p>
            <w:pPr>
              <w:spacing w:after="0"/>
              <w:rPr>
                <w:sz w:val="1"/>
                <w:szCs w:val="1"/>
                <w:color w:val="auto"/>
              </w:rPr>
            </w:pPr>
          </w:p>
        </w:tc>
      </w:tr>
      <w:tr>
        <w:trPr>
          <w:trHeight w:val="466"/>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421,419</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452,361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102,385</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130,684</w:t>
            </w: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Lease Liability</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53,507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57,555</w:t>
            </w: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11,272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13,485</w:t>
            </w:r>
          </w:p>
        </w:tc>
        <w:tc>
          <w:tcPr>
            <w:tcW w:w="0" w:type="dxa"/>
            <w:vAlign w:val="bottom"/>
          </w:tcPr>
          <w:p>
            <w:pPr>
              <w:spacing w:after="0"/>
              <w:rPr>
                <w:sz w:val="1"/>
                <w:szCs w:val="1"/>
                <w:color w:val="auto"/>
              </w:rPr>
            </w:pPr>
          </w:p>
        </w:tc>
      </w:tr>
      <w:tr>
        <w:trPr>
          <w:trHeight w:val="486"/>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96,941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88,341</w:t>
            </w:r>
          </w:p>
        </w:tc>
        <w:tc>
          <w:tcPr>
            <w:tcW w:w="0" w:type="dxa"/>
            <w:vAlign w:val="bottom"/>
          </w:tcPr>
          <w:p>
            <w:pPr>
              <w:spacing w:after="0"/>
              <w:rPr>
                <w:sz w:val="1"/>
                <w:szCs w:val="1"/>
                <w:color w:val="auto"/>
              </w:rPr>
            </w:pPr>
          </w:p>
        </w:tc>
      </w:tr>
      <w:tr>
        <w:trPr>
          <w:trHeight w:val="465"/>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157,314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162,296</w:t>
            </w:r>
          </w:p>
        </w:tc>
        <w:tc>
          <w:tcPr>
            <w:tcW w:w="0" w:type="dxa"/>
            <w:vAlign w:val="bottom"/>
          </w:tcPr>
          <w:p>
            <w:pPr>
              <w:spacing w:after="0"/>
              <w:rPr>
                <w:sz w:val="1"/>
                <w:szCs w:val="1"/>
                <w:color w:val="auto"/>
              </w:rPr>
            </w:pPr>
          </w:p>
        </w:tc>
      </w:tr>
      <w:tr>
        <w:trPr>
          <w:trHeight w:val="439"/>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421,419</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452,361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79"/>
          </w:cols>
          <w:pgMar w:left="1080" w:top="881" w:right="1440"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2026-03-23T15:06:24Z</dcterms:created>
  <dcterms:modified xsi:type="dcterms:W3CDTF">2026-03-23T15:06:24Z</dcterms:modified>
</cp:coreProperties>
</file>