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0447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04470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UNITED STATES</w:t>
      </w:r>
    </w:p>
    <w:p>
      <w:pPr>
        <w:spacing w:after="0" w:line="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450 Fifth Street NW</w:t>
      </w:r>
    </w:p>
    <w:p>
      <w:pPr>
        <w:jc w:val="center"/>
        <w:ind w:right="-59"/>
        <w:spacing w:after="0"/>
        <w:rPr>
          <w:sz w:val="20"/>
          <w:szCs w:val="20"/>
          <w:color w:val="auto"/>
        </w:rPr>
      </w:pPr>
      <w:r>
        <w:rPr>
          <w:rFonts w:ascii="Times New Roman" w:cs="Times New Roman" w:eastAsia="Times New Roman" w:hAnsi="Times New Roman"/>
          <w:sz w:val="18"/>
          <w:szCs w:val="18"/>
          <w:color w:val="auto"/>
        </w:rPr>
        <w:t>Washington, D.C. 29549</w:t>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CURRENT REPORT PURSUANT TO SECTION 13 OR 15(d) OF</w:t>
      </w:r>
    </w:p>
    <w:p>
      <w:pPr>
        <w:spacing w:after="0" w:line="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232" w:lineRule="exact"/>
        <w:rPr>
          <w:sz w:val="24"/>
          <w:szCs w:val="24"/>
          <w:color w:val="auto"/>
        </w:rPr>
      </w:pPr>
    </w:p>
    <w:tbl>
      <w:tblPr>
        <w:tblLayout w:type="fixed"/>
        <w:tblInd w:w="2300" w:type="dxa"/>
        <w:tblCellMar>
          <w:top w:w="0" w:type="dxa"/>
          <w:left w:w="0" w:type="dxa"/>
          <w:bottom w:w="0" w:type="dxa"/>
          <w:right w:w="0" w:type="dxa"/>
        </w:tblCellMar>
      </w:tblPr>
      <w:tr>
        <w:trPr>
          <w:trHeight w:val="207"/>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18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May 21, 2026</w:t>
            </w:r>
          </w:p>
        </w:tc>
      </w:tr>
    </w:tbl>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u w:val="single" w:color="auto"/>
          <w:color w:val="auto"/>
        </w:rPr>
        <w:t>THE CATO CORPORATION</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1" w:lineRule="exact"/>
        <w:rPr>
          <w:sz w:val="24"/>
          <w:szCs w:val="24"/>
          <w:color w:val="auto"/>
        </w:rPr>
      </w:pPr>
    </w:p>
    <w:tbl>
      <w:tblPr>
        <w:tblLayout w:type="fixed"/>
        <w:tblInd w:w="10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10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9"/>
              </w:rPr>
              <w:t>1-31340</w:t>
            </w:r>
          </w:p>
        </w:tc>
        <w:tc>
          <w:tcPr>
            <w:tcW w:w="3060" w:type="dxa"/>
            <w:vAlign w:val="bottom"/>
            <w:gridSpan w:val="3"/>
          </w:tcPr>
          <w:p>
            <w:pPr>
              <w:jc w:val="center"/>
              <w:ind w:left="1670"/>
              <w:spacing w:after="0"/>
              <w:rPr>
                <w:sz w:val="20"/>
                <w:szCs w:val="20"/>
                <w:color w:val="auto"/>
              </w:rPr>
            </w:pPr>
            <w:r>
              <w:rPr>
                <w:rFonts w:ascii="Times New Roman" w:cs="Times New Roman" w:eastAsia="Times New Roman" w:hAnsi="Times New Roman"/>
                <w:sz w:val="18"/>
                <w:szCs w:val="18"/>
                <w:color w:val="auto"/>
                <w:w w:val="98"/>
              </w:rPr>
              <w:t>56-0484485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w w:val="97"/>
              </w:rPr>
              <w:t>(State or</w:t>
            </w: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2400" w:type="dxa"/>
            <w:vAlign w:val="bottom"/>
            <w:gridSpan w:val="4"/>
          </w:tcPr>
          <w:p>
            <w:pPr>
              <w:ind w:left="40"/>
              <w:spacing w:after="0" w:line="182" w:lineRule="exact"/>
              <w:rPr>
                <w:sz w:val="20"/>
                <w:szCs w:val="20"/>
                <w:color w:val="auto"/>
              </w:rPr>
            </w:pPr>
            <w:r>
              <w:rPr>
                <w:rFonts w:ascii="Times New Roman" w:cs="Times New Roman" w:eastAsia="Times New Roman" w:hAnsi="Times New Roman"/>
                <w:sz w:val="18"/>
                <w:szCs w:val="18"/>
                <w:color w:val="auto"/>
              </w:rPr>
              <w:t>Other Jurisdiction</w:t>
            </w:r>
          </w:p>
        </w:tc>
        <w:tc>
          <w:tcPr>
            <w:tcW w:w="12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4"/>
              </w:rPr>
              <w:t>(Commission</w:t>
            </w:r>
          </w:p>
        </w:tc>
        <w:tc>
          <w:tcPr>
            <w:tcW w:w="180" w:type="dxa"/>
            <w:vAlign w:val="bottom"/>
            <w:vMerge w:val="continue"/>
          </w:tcPr>
          <w:p>
            <w:pPr>
              <w:spacing w:after="0"/>
              <w:rPr>
                <w:sz w:val="15"/>
                <w:szCs w:val="15"/>
                <w:color w:val="auto"/>
              </w:rPr>
            </w:pPr>
          </w:p>
        </w:tc>
        <w:tc>
          <w:tcPr>
            <w:tcW w:w="2840" w:type="dxa"/>
            <w:vAlign w:val="bottom"/>
            <w:gridSpan w:val="2"/>
          </w:tcPr>
          <w:p>
            <w:pPr>
              <w:ind w:left="1860"/>
              <w:spacing w:after="0" w:line="182" w:lineRule="exact"/>
              <w:rPr>
                <w:sz w:val="20"/>
                <w:szCs w:val="20"/>
                <w:color w:val="auto"/>
              </w:rPr>
            </w:pPr>
            <w:r>
              <w:rPr>
                <w:rFonts w:ascii="Times New Roman" w:cs="Times New Roman" w:eastAsia="Times New Roman" w:hAnsi="Times New Roman"/>
                <w:sz w:val="18"/>
                <w:szCs w:val="18"/>
                <w:color w:val="auto"/>
                <w:w w:val="87"/>
              </w:rPr>
              <w:t>(IRS Employer</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4"/>
          </w:tcPr>
          <w:p>
            <w:pPr>
              <w:spacing w:after="0" w:line="182" w:lineRule="exact"/>
              <w:rPr>
                <w:sz w:val="20"/>
                <w:szCs w:val="20"/>
                <w:color w:val="auto"/>
              </w:rPr>
            </w:pPr>
            <w:r>
              <w:rPr>
                <w:rFonts w:ascii="Times New Roman" w:cs="Times New Roman" w:eastAsia="Times New Roman" w:hAnsi="Times New Roman"/>
                <w:sz w:val="18"/>
                <w:szCs w:val="18"/>
                <w:color w:val="auto"/>
              </w:rPr>
              <w:t>of Incorporation</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top w:val="single" w:sz="8" w:color="auto"/>
            </w:tcBorders>
            <w:gridSpan w:val="3"/>
          </w:tcPr>
          <w:p>
            <w:pPr>
              <w:jc w:val="center"/>
              <w:spacing w:after="0" w:line="182" w:lineRule="exact"/>
              <w:rPr>
                <w:sz w:val="20"/>
                <w:szCs w:val="20"/>
                <w:color w:val="auto"/>
              </w:rPr>
            </w:pPr>
            <w:r>
              <w:rPr>
                <w:rFonts w:ascii="Times New Roman" w:cs="Times New Roman" w:eastAsia="Times New Roman" w:hAnsi="Times New Roman"/>
                <w:sz w:val="18"/>
                <w:szCs w:val="18"/>
                <w:color w:val="auto"/>
              </w:rPr>
              <w:t>File Number)</w:t>
            </w:r>
          </w:p>
        </w:tc>
        <w:tc>
          <w:tcPr>
            <w:tcW w:w="3060" w:type="dxa"/>
            <w:vAlign w:val="bottom"/>
            <w:gridSpan w:val="3"/>
          </w:tcPr>
          <w:p>
            <w:pPr>
              <w:jc w:val="center"/>
              <w:ind w:left="1630"/>
              <w:spacing w:after="0" w:line="182" w:lineRule="exact"/>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220" w:type="dxa"/>
            <w:vAlign w:val="bottom"/>
            <w:gridSpan w:val="3"/>
            <w:shd w:val="clear" w:color="auto" w:fill="000000"/>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tcBorders>
              <w:left w:val="single" w:sz="8" w:color="auto"/>
            </w:tcBorders>
            <w:gridSpan w:val="2"/>
            <w:shd w:val="clear" w:color="auto" w:fill="000000"/>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41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8100 Denmark Road, Charlotte, North Carolina</w:t>
            </w:r>
          </w:p>
        </w:tc>
        <w:tc>
          <w:tcPr>
            <w:tcW w:w="3060" w:type="dxa"/>
            <w:vAlign w:val="bottom"/>
            <w:gridSpan w:val="3"/>
          </w:tcPr>
          <w:p>
            <w:pPr>
              <w:jc w:val="center"/>
              <w:ind w:left="1670"/>
              <w:spacing w:after="0"/>
              <w:rPr>
                <w:sz w:val="20"/>
                <w:szCs w:val="20"/>
                <w:color w:val="auto"/>
              </w:rPr>
            </w:pPr>
            <w:r>
              <w:rPr>
                <w:rFonts w:ascii="Times New Roman" w:cs="Times New Roman" w:eastAsia="Times New Roman" w:hAnsi="Times New Roman"/>
                <w:sz w:val="18"/>
                <w:szCs w:val="18"/>
                <w:color w:val="auto"/>
                <w:w w:val="98"/>
              </w:rPr>
              <w:t>28273-5975</w:t>
            </w:r>
          </w:p>
        </w:tc>
        <w:tc>
          <w:tcPr>
            <w:tcW w:w="0" w:type="dxa"/>
            <w:vAlign w:val="bottom"/>
          </w:tcPr>
          <w:p>
            <w:pPr>
              <w:spacing w:after="0"/>
              <w:rPr>
                <w:sz w:val="1"/>
                <w:szCs w:val="1"/>
                <w:color w:val="auto"/>
              </w:rPr>
            </w:pPr>
          </w:p>
        </w:tc>
      </w:tr>
      <w:tr>
        <w:trPr>
          <w:trHeight w:val="227"/>
        </w:trPr>
        <w:tc>
          <w:tcPr>
            <w:tcW w:w="304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(704) 554-8510</w:t>
      </w:r>
    </w:p>
    <w:p>
      <w:pPr>
        <w:spacing w:after="0" w:line="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Not Applicable</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96" w:lineRule="exact"/>
        <w:rPr>
          <w:sz w:val="24"/>
          <w:szCs w:val="24"/>
          <w:color w:val="auto"/>
        </w:rPr>
      </w:pPr>
    </w:p>
    <w:p>
      <w:pPr>
        <w:ind w:left="100" w:right="2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300" w:hanging="196"/>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00" w:hanging="196"/>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-12)</w:t>
      </w:r>
    </w:p>
    <w:p>
      <w:pPr>
        <w:spacing w:after="0" w:line="252" w:lineRule="exact"/>
        <w:rPr>
          <w:rFonts w:ascii="MS PGothic" w:cs="MS PGothic" w:eastAsia="MS PGothic" w:hAnsi="MS PGothic"/>
          <w:sz w:val="18"/>
          <w:szCs w:val="18"/>
          <w:color w:val="auto"/>
        </w:rPr>
      </w:pPr>
    </w:p>
    <w:p>
      <w:pPr>
        <w:ind w:left="300" w:hanging="196"/>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2880" w:right="1540" w:hanging="2776"/>
        <w:spacing w:after="0" w:line="389" w:lineRule="auto"/>
        <w:tabs>
          <w:tab w:leader="none" w:pos="28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5"/>
        </w:trPr>
        <w:tc>
          <w:tcPr>
            <w:tcW w:w="37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37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 Common Stock, par value $.033 per share</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CATO</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46"/>
        </w:trPr>
        <w:tc>
          <w:tcPr>
            <w:tcW w:w="3700" w:type="dxa"/>
            <w:vAlign w:val="bottom"/>
            <w:tcBorders>
              <w:left w:val="single" w:sz="8" w:color="auto"/>
              <w:bottom w:val="single" w:sz="8" w:color="auto"/>
              <w:right w:val="single" w:sz="8" w:color="auto"/>
            </w:tcBorders>
          </w:tcPr>
          <w:p>
            <w:pPr>
              <w:spacing w:after="0"/>
              <w:rPr>
                <w:sz w:val="4"/>
                <w:szCs w:val="4"/>
                <w:color w:val="auto"/>
              </w:rPr>
            </w:pPr>
          </w:p>
        </w:tc>
        <w:tc>
          <w:tcPr>
            <w:tcW w:w="248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bl>
    <w:p>
      <w:pPr>
        <w:spacing w:after="0" w:line="185" w:lineRule="exact"/>
        <w:rPr>
          <w:sz w:val="24"/>
          <w:szCs w:val="24"/>
          <w:color w:val="auto"/>
        </w:rPr>
      </w:pPr>
    </w:p>
    <w:p>
      <w:pPr>
        <w:ind w:left="100" w:right="340"/>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100" w:right="520"/>
        <w:spacing w:after="0" w:line="23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ectPr>
          <w:pgSz w:w="11900" w:h="16838" w:orient="portrait"/>
          <w:cols w:equalWidth="0" w:num="1">
            <w:col w:w="9860"/>
          </w:cols>
          <w:pgMar w:left="980" w:top="1440" w:right="105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CATO CORPORATION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highlight w:val="white"/>
        </w:rPr>
        <w:t>Item 2.02. Results of Operations and Financial Condition.</w:t>
      </w:r>
    </w:p>
    <w:p>
      <w:pPr>
        <w:spacing w:after="0" w:line="256" w:lineRule="exact"/>
        <w:rPr>
          <w:sz w:val="20"/>
          <w:szCs w:val="20"/>
          <w:color w:val="auto"/>
        </w:rPr>
      </w:pPr>
    </w:p>
    <w:p>
      <w:pPr>
        <w:ind w:left="300" w:right="679"/>
        <w:spacing w:after="0" w:line="265" w:lineRule="auto"/>
        <w:rPr>
          <w:sz w:val="20"/>
          <w:szCs w:val="20"/>
          <w:color w:val="auto"/>
        </w:rPr>
      </w:pPr>
      <w:r>
        <w:rPr>
          <w:rFonts w:ascii="Times New Roman" w:cs="Times New Roman" w:eastAsia="Times New Roman" w:hAnsi="Times New Roman"/>
          <w:sz w:val="18"/>
          <w:szCs w:val="18"/>
          <w:color w:val="auto"/>
        </w:rPr>
        <w:t>On May 21, 2026, The Cato Corporation issued a press release regarding its financial results for the first quarter ending May 2, 2026. A copy of this press release is hereby incorporated as Exhibit 99.1 hereto.</w:t>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94"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On May 21, 2026, the Registrant held its Annual Meeting. The following are the voting results on each matter submitted to the Registrant’s stockholders at the Annual Meeting. The proposals below are described in detail in the Proxy Statement.</w:t>
      </w:r>
    </w:p>
    <w:p>
      <w:pPr>
        <w:spacing w:after="0" w:line="156" w:lineRule="exact"/>
        <w:rPr>
          <w:sz w:val="20"/>
          <w:szCs w:val="20"/>
          <w:color w:val="auto"/>
        </w:rPr>
      </w:pPr>
    </w:p>
    <w:p>
      <w:pPr>
        <w:jc w:val="both"/>
        <w:ind w:left="300" w:right="319"/>
        <w:spacing w:after="0" w:line="281" w:lineRule="auto"/>
        <w:rPr>
          <w:sz w:val="20"/>
          <w:szCs w:val="20"/>
          <w:color w:val="auto"/>
        </w:rPr>
      </w:pPr>
      <w:r>
        <w:rPr>
          <w:rFonts w:ascii="Times New Roman" w:cs="Times New Roman" w:eastAsia="Times New Roman" w:hAnsi="Times New Roman"/>
          <w:sz w:val="18"/>
          <w:szCs w:val="18"/>
          <w:color w:val="auto"/>
        </w:rPr>
        <w:t>At the Annual Meeting, the three nominees for director were elected to the Registrant’s Board of Directors (Proposal 1 below).</w:t>
      </w:r>
    </w:p>
    <w:p>
      <w:pPr>
        <w:spacing w:after="0" w:line="136" w:lineRule="exact"/>
        <w:rPr>
          <w:sz w:val="20"/>
          <w:szCs w:val="20"/>
          <w:color w:val="auto"/>
        </w:rPr>
      </w:pPr>
    </w:p>
    <w:p>
      <w:pPr>
        <w:jc w:val="both"/>
        <w:ind w:left="300" w:right="319"/>
        <w:spacing w:after="0" w:line="281" w:lineRule="auto"/>
        <w:rPr>
          <w:sz w:val="20"/>
          <w:szCs w:val="20"/>
          <w:color w:val="auto"/>
        </w:rPr>
      </w:pPr>
      <w:r>
        <w:rPr>
          <w:rFonts w:ascii="Times New Roman" w:cs="Times New Roman" w:eastAsia="Times New Roman" w:hAnsi="Times New Roman"/>
          <w:sz w:val="18"/>
          <w:szCs w:val="18"/>
          <w:color w:val="auto"/>
        </w:rPr>
        <w:t>In addition, management’s proposal regarding the Company’s executive compensation was approved (Proposal 2 below).</w:t>
      </w:r>
    </w:p>
    <w:p>
      <w:pPr>
        <w:spacing w:after="0" w:line="136"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management’s proposal regarding the selection of PricewaterhouseCoopers LLP as the Company’s independent registered public accounting firm for the fiscal year ending January 31, 2026 was approved (Proposal 3 below).</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Summary of Voting By Proposal</w:t>
      </w:r>
    </w:p>
    <w:p>
      <w:pPr>
        <w:spacing w:after="0" w:line="198" w:lineRule="exact"/>
        <w:rPr>
          <w:sz w:val="20"/>
          <w:szCs w:val="20"/>
          <w:color w:val="auto"/>
        </w:rPr>
      </w:pPr>
    </w:p>
    <w:p>
      <w:pPr>
        <w:ind w:left="780" w:right="319" w:hanging="326"/>
        <w:spacing w:after="0" w:line="281" w:lineRule="auto"/>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Dr. Pamela L Davies, Thomas B. Henson and Bryan F. Kennedy III, each for a term expiring in 202 9 and until their successors are elected and qualified. Votes recorded, by nominee, were as follows:</w:t>
      </w:r>
    </w:p>
    <w:p>
      <w:pPr>
        <w:spacing w:after="0" w:line="366"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Broker</w:t>
            </w:r>
          </w:p>
        </w:tc>
      </w:tr>
      <w:tr>
        <w:trPr>
          <w:trHeight w:val="220"/>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Nominee</w:t>
            </w: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For</w:t>
            </w:r>
          </w:p>
        </w:tc>
        <w:tc>
          <w:tcPr>
            <w:tcW w:w="240" w:type="dxa"/>
            <w:vAlign w:val="bottom"/>
          </w:tcPr>
          <w:p>
            <w:pPr>
              <w:spacing w:after="0"/>
              <w:rPr>
                <w:sz w:val="19"/>
                <w:szCs w:val="19"/>
                <w:color w:val="auto"/>
              </w:rPr>
            </w:pP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Abstain</w:t>
            </w:r>
          </w:p>
        </w:tc>
        <w:tc>
          <w:tcPr>
            <w:tcW w:w="240" w:type="dxa"/>
            <w:vAlign w:val="bottom"/>
          </w:tcPr>
          <w:p>
            <w:pPr>
              <w:spacing w:after="0"/>
              <w:rPr>
                <w:sz w:val="19"/>
                <w:szCs w:val="19"/>
                <w:color w:val="auto"/>
              </w:rPr>
            </w:pP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Non-Votes</w:t>
            </w:r>
          </w:p>
        </w:tc>
      </w:tr>
      <w:tr>
        <w:trPr>
          <w:trHeight w:val="205"/>
        </w:trPr>
        <w:tc>
          <w:tcPr>
            <w:tcW w:w="186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Dr. Pamela L Davies</w:t>
            </w:r>
          </w:p>
        </w:tc>
        <w:tc>
          <w:tcPr>
            <w:tcW w:w="114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24,168,124</w:t>
            </w:r>
          </w:p>
        </w:tc>
        <w:tc>
          <w:tcPr>
            <w:tcW w:w="240" w:type="dxa"/>
            <w:vAlign w:val="bottom"/>
          </w:tcPr>
          <w:p>
            <w:pPr>
              <w:spacing w:after="0"/>
              <w:rPr>
                <w:sz w:val="17"/>
                <w:szCs w:val="17"/>
                <w:color w:val="auto"/>
              </w:rPr>
            </w:pPr>
          </w:p>
        </w:tc>
        <w:tc>
          <w:tcPr>
            <w:tcW w:w="122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2,213,658</w:t>
            </w:r>
          </w:p>
        </w:tc>
        <w:tc>
          <w:tcPr>
            <w:tcW w:w="240" w:type="dxa"/>
            <w:vAlign w:val="bottom"/>
          </w:tcPr>
          <w:p>
            <w:pPr>
              <w:spacing w:after="0"/>
              <w:rPr>
                <w:sz w:val="17"/>
                <w:szCs w:val="17"/>
                <w:color w:val="auto"/>
              </w:rPr>
            </w:pPr>
          </w:p>
        </w:tc>
        <w:tc>
          <w:tcPr>
            <w:tcW w:w="122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2,051,676</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Thomas B. Henson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24,179,447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2,202,335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2,051,676</w:t>
            </w: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Bryan F. Kennedy III</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24,054,725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2,327,057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2,051,676</w:t>
            </w:r>
          </w:p>
        </w:tc>
      </w:tr>
    </w:tbl>
    <w:p>
      <w:pPr>
        <w:spacing w:after="0" w:line="200" w:lineRule="exact"/>
        <w:rPr>
          <w:sz w:val="20"/>
          <w:szCs w:val="20"/>
          <w:color w:val="auto"/>
        </w:rPr>
      </w:pPr>
    </w:p>
    <w:p>
      <w:pPr>
        <w:spacing w:after="0" w:line="214" w:lineRule="exact"/>
        <w:rPr>
          <w:sz w:val="20"/>
          <w:szCs w:val="20"/>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Company’s executive  compensation. The  Company’s shareholders</w:t>
      </w:r>
    </w:p>
    <w:p>
      <w:pPr>
        <w:spacing w:after="0" w:line="16" w:lineRule="exact"/>
        <w:rPr>
          <w:sz w:val="20"/>
          <w:szCs w:val="20"/>
          <w:color w:val="auto"/>
        </w:rPr>
      </w:pPr>
    </w:p>
    <w:p>
      <w:pPr>
        <w:ind w:left="780" w:right="319"/>
        <w:spacing w:after="0" w:line="258" w:lineRule="auto"/>
        <w:rPr>
          <w:sz w:val="20"/>
          <w:szCs w:val="20"/>
          <w:color w:val="auto"/>
        </w:rPr>
      </w:pPr>
      <w:r>
        <w:rPr>
          <w:rFonts w:ascii="Times New Roman" w:cs="Times New Roman" w:eastAsia="Times New Roman" w:hAnsi="Times New Roman"/>
          <w:sz w:val="18"/>
          <w:szCs w:val="18"/>
          <w:color w:val="auto"/>
        </w:rPr>
        <w:t>voted to approve this proposal with 24,699,1186 for and 1,284,938 votes against. There were 397,658 abstentions and 2,51,676 Broker non-votes</w:t>
      </w:r>
    </w:p>
    <w:p>
      <w:pPr>
        <w:spacing w:after="0" w:line="156" w:lineRule="exact"/>
        <w:rPr>
          <w:sz w:val="20"/>
          <w:szCs w:val="20"/>
          <w:color w:val="auto"/>
        </w:rPr>
      </w:pPr>
    </w:p>
    <w:p>
      <w:pPr>
        <w:jc w:val="both"/>
        <w:ind w:left="780" w:right="279" w:hanging="326"/>
        <w:spacing w:after="0" w:line="258"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PricewaterhouseCoopers LLP as the Company’s independent registered public accounting firm for the fiscal year ending January 30, 2027. The Company’s shareholders voted to approve this proposal with 28,338,866 for and 63,838 votes against. There were 30,754 abstentions.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u w:val="single" w:color="auto"/>
          <w:color w:val="0563C1"/>
        </w:rPr>
        <w:t>Exhibit 99.1 - Press Release issued May 21, 2026</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Exhibit 104 – Cover Page Interactive Data File (embedded within Inline XBRL document)</w:t>
      </w:r>
    </w:p>
    <w:p>
      <w:pPr>
        <w:sectPr>
          <w:pgSz w:w="11900" w:h="16838" w:orient="portrait"/>
          <w:cols w:equalWidth="0" w:num="1">
            <w:col w:w="9019"/>
          </w:cols>
          <w:pgMar w:left="1440" w:top="1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9019"/>
          </w:cols>
          <w:pgMar w:left="1440" w:top="1125" w:right="1440"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Signatures</w:t>
      </w:r>
    </w:p>
    <w:p>
      <w:pPr>
        <w:spacing w:after="0" w:line="233" w:lineRule="exact"/>
        <w:rPr>
          <w:sz w:val="20"/>
          <w:szCs w:val="20"/>
          <w:color w:val="auto"/>
        </w:rPr>
      </w:pPr>
    </w:p>
    <w:p>
      <w:pPr>
        <w:ind w:left="300" w:right="439"/>
        <w:spacing w:after="0" w:line="25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240" w:lineRule="exact"/>
        <w:rPr>
          <w:sz w:val="20"/>
          <w:szCs w:val="20"/>
          <w:color w:val="auto"/>
        </w:rPr>
      </w:pPr>
    </w:p>
    <w:tbl>
      <w:tblPr>
        <w:tblLayout w:type="fixed"/>
        <w:tblInd w:w="180" w:type="dxa"/>
        <w:tblCellMar>
          <w:top w:w="0" w:type="dxa"/>
          <w:left w:w="0" w:type="dxa"/>
          <w:bottom w:w="0" w:type="dxa"/>
          <w:right w:w="0" w:type="dxa"/>
        </w:tblCellMar>
      </w:tblPr>
      <w:tr>
        <w:trPr>
          <w:trHeight w:val="259"/>
        </w:trPr>
        <w:tc>
          <w:tcPr>
            <w:tcW w:w="23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20"/>
                <w:szCs w:val="20"/>
                <w:color w:val="auto"/>
              </w:rPr>
              <w:t>THE CATO CORPORATION</w:t>
            </w:r>
          </w:p>
        </w:tc>
      </w:tr>
      <w:tr>
        <w:trPr>
          <w:trHeight w:val="669"/>
        </w:trPr>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May 26, 2026</w:t>
            </w:r>
          </w:p>
        </w:tc>
        <w:tc>
          <w:tcPr>
            <w:tcW w:w="2300" w:type="dxa"/>
            <w:vAlign w:val="bottom"/>
          </w:tcPr>
          <w:p>
            <w:pPr>
              <w:spacing w:after="0"/>
              <w:rPr>
                <w:sz w:val="24"/>
                <w:szCs w:val="24"/>
                <w:color w:val="auto"/>
              </w:rPr>
            </w:pPr>
          </w:p>
        </w:tc>
        <w:tc>
          <w:tcPr>
            <w:tcW w:w="3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John P. D. Cato</w:t>
            </w:r>
          </w:p>
        </w:tc>
      </w:tr>
      <w:tr>
        <w:trPr>
          <w:trHeight w:val="199"/>
        </w:trPr>
        <w:tc>
          <w:tcPr>
            <w:tcW w:w="234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rPr>
              <w:t>Date</w:t>
            </w:r>
          </w:p>
        </w:tc>
        <w:tc>
          <w:tcPr>
            <w:tcW w:w="2300" w:type="dxa"/>
            <w:vAlign w:val="bottom"/>
          </w:tcPr>
          <w:p>
            <w:pPr>
              <w:spacing w:after="0"/>
              <w:rPr>
                <w:sz w:val="17"/>
                <w:szCs w:val="17"/>
                <w:color w:val="auto"/>
              </w:rPr>
            </w:pPr>
          </w:p>
        </w:tc>
        <w:tc>
          <w:tcPr>
            <w:tcW w:w="350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John P. D. Cato</w:t>
            </w:r>
          </w:p>
        </w:tc>
      </w:tr>
      <w:tr>
        <w:trPr>
          <w:trHeight w:val="229"/>
        </w:trPr>
        <w:tc>
          <w:tcPr>
            <w:tcW w:w="23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Chairman, President and</w:t>
            </w:r>
          </w:p>
        </w:tc>
      </w:tr>
      <w:tr>
        <w:trPr>
          <w:trHeight w:val="259"/>
        </w:trPr>
        <w:tc>
          <w:tcPr>
            <w:tcW w:w="23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669"/>
        </w:trPr>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May 26, 2026</w:t>
            </w:r>
          </w:p>
        </w:tc>
        <w:tc>
          <w:tcPr>
            <w:tcW w:w="2300" w:type="dxa"/>
            <w:vAlign w:val="bottom"/>
          </w:tcPr>
          <w:p>
            <w:pPr>
              <w:spacing w:after="0"/>
              <w:rPr>
                <w:sz w:val="24"/>
                <w:szCs w:val="24"/>
                <w:color w:val="auto"/>
              </w:rPr>
            </w:pPr>
          </w:p>
        </w:tc>
        <w:tc>
          <w:tcPr>
            <w:tcW w:w="3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Charles D. Knight</w:t>
            </w:r>
          </w:p>
        </w:tc>
      </w:tr>
      <w:tr>
        <w:trPr>
          <w:trHeight w:val="199"/>
        </w:trPr>
        <w:tc>
          <w:tcPr>
            <w:tcW w:w="234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rPr>
              <w:t>Date</w:t>
            </w:r>
          </w:p>
        </w:tc>
        <w:tc>
          <w:tcPr>
            <w:tcW w:w="2300" w:type="dxa"/>
            <w:vAlign w:val="bottom"/>
          </w:tcPr>
          <w:p>
            <w:pPr>
              <w:spacing w:after="0"/>
              <w:rPr>
                <w:sz w:val="17"/>
                <w:szCs w:val="17"/>
                <w:color w:val="auto"/>
              </w:rPr>
            </w:pPr>
          </w:p>
        </w:tc>
        <w:tc>
          <w:tcPr>
            <w:tcW w:w="350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Charles D. Knight</w:t>
            </w:r>
          </w:p>
        </w:tc>
      </w:tr>
      <w:tr>
        <w:trPr>
          <w:trHeight w:val="229"/>
        </w:trPr>
        <w:tc>
          <w:tcPr>
            <w:tcW w:w="23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Executive Vice President</w:t>
            </w:r>
          </w:p>
        </w:tc>
      </w:tr>
      <w:tr>
        <w:trPr>
          <w:trHeight w:val="259"/>
        </w:trPr>
        <w:tc>
          <w:tcPr>
            <w:tcW w:w="23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00" w:lineRule="exact"/>
        <w:rPr>
          <w:sz w:val="20"/>
          <w:szCs w:val="20"/>
          <w:color w:val="auto"/>
        </w:rPr>
      </w:pPr>
    </w:p>
    <w:p>
      <w:pPr>
        <w:sectPr>
          <w:pgSz w:w="11900" w:h="16838" w:orient="portrait"/>
          <w:cols w:equalWidth="0" w:num="1">
            <w:col w:w="9019"/>
          </w:cols>
          <w:pgMar w:left="1440" w:top="8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9019"/>
          </w:cols>
          <w:pgMar w:left="1440" w:top="881" w:right="1440" w:bottom="1440" w:gutter="0" w:footer="0" w:header="0"/>
          <w:type w:val="continuous"/>
        </w:sectPr>
      </w:pPr>
    </w:p>
    <w:bookmarkStart w:id="3" w:name="page4"/>
    <w:bookmarkEnd w:id="3"/>
    <w:tbl>
      <w:tblPr>
        <w:tblLayout w:type="fixed"/>
        <w:tblInd w:w="1200" w:type="dxa"/>
        <w:tblCellMar>
          <w:top w:w="0" w:type="dxa"/>
          <w:left w:w="0" w:type="dxa"/>
          <w:bottom w:w="0" w:type="dxa"/>
          <w:right w:w="0" w:type="dxa"/>
        </w:tblCellMar>
      </w:tblPr>
      <w:tr>
        <w:trPr>
          <w:trHeight w:val="282"/>
        </w:trPr>
        <w:tc>
          <w:tcPr>
            <w:tcW w:w="680" w:type="dxa"/>
            <w:vAlign w:val="bottom"/>
          </w:tcPr>
          <w:p>
            <w:pPr>
              <w:spacing w:after="0"/>
              <w:rPr>
                <w:sz w:val="24"/>
                <w:szCs w:val="24"/>
                <w:color w:val="auto"/>
              </w:rPr>
            </w:pPr>
          </w:p>
        </w:tc>
        <w:tc>
          <w:tcPr>
            <w:tcW w:w="4780" w:type="dxa"/>
            <w:vAlign w:val="bottom"/>
            <w:gridSpan w:val="2"/>
          </w:tcPr>
          <w:p>
            <w:pPr>
              <w:ind w:left="2040"/>
              <w:spacing w:after="0"/>
              <w:rPr>
                <w:sz w:val="20"/>
                <w:szCs w:val="20"/>
                <w:color w:val="auto"/>
              </w:rPr>
            </w:pPr>
            <w:r>
              <w:rPr>
                <w:rFonts w:ascii="Times New Roman" w:cs="Times New Roman" w:eastAsia="Times New Roman" w:hAnsi="Times New Roman"/>
                <w:sz w:val="22"/>
                <w:szCs w:val="22"/>
                <w:color w:val="auto"/>
              </w:rPr>
              <w:t>Exhibit Index</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31"/>
        </w:trPr>
        <w:tc>
          <w:tcPr>
            <w:tcW w:w="54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Exhibit</w:t>
            </w:r>
          </w:p>
        </w:tc>
        <w:tc>
          <w:tcPr>
            <w:tcW w:w="11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Exhibit No.</w:t>
            </w:r>
          </w:p>
        </w:tc>
      </w:tr>
      <w:tr>
        <w:trPr>
          <w:trHeight w:val="20"/>
        </w:trPr>
        <w:tc>
          <w:tcPr>
            <w:tcW w:w="68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8"/>
        </w:trPr>
        <w:tc>
          <w:tcPr>
            <w:tcW w:w="5460" w:type="dxa"/>
            <w:vAlign w:val="bottom"/>
            <w:gridSpan w:val="3"/>
          </w:tcPr>
          <w:p>
            <w:pPr>
              <w:spacing w:after="0"/>
              <w:rPr>
                <w:sz w:val="20"/>
                <w:szCs w:val="20"/>
                <w:color w:val="auto"/>
              </w:rPr>
            </w:pPr>
            <w:r>
              <w:rPr>
                <w:rFonts w:ascii="Times New Roman" w:cs="Times New Roman" w:eastAsia="Times New Roman" w:hAnsi="Times New Roman"/>
                <w:sz w:val="20"/>
                <w:szCs w:val="20"/>
                <w:color w:val="0563C1"/>
              </w:rPr>
              <w:t>99.</w:t>
            </w:r>
            <w:r>
              <w:rPr>
                <w:rFonts w:ascii="Times New Roman" w:cs="Times New Roman" w:eastAsia="Times New Roman" w:hAnsi="Times New Roman"/>
                <w:sz w:val="20"/>
                <w:szCs w:val="20"/>
                <w:u w:val="single" w:color="auto"/>
                <w:color w:val="0563C1"/>
              </w:rPr>
              <w:t>1</w:t>
            </w:r>
            <w:r>
              <w:rPr>
                <w:rFonts w:ascii="Times New Roman" w:cs="Times New Roman" w:eastAsia="Times New Roman" w:hAnsi="Times New Roman"/>
                <w:sz w:val="20"/>
                <w:szCs w:val="20"/>
                <w:color w:val="0563C1"/>
              </w:rPr>
              <w:t xml:space="preserve"> - Press Release issued May 21, 2026</w:t>
            </w:r>
          </w:p>
        </w:tc>
        <w:tc>
          <w:tcPr>
            <w:tcW w:w="108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99.1</w:t>
            </w:r>
          </w:p>
        </w:tc>
        <w:tc>
          <w:tcPr>
            <w:tcW w:w="40" w:type="dxa"/>
            <w:vAlign w:val="bottom"/>
          </w:tcPr>
          <w:p>
            <w:pPr>
              <w:spacing w:after="0"/>
              <w:rPr>
                <w:sz w:val="24"/>
                <w:szCs w:val="24"/>
                <w:color w:val="auto"/>
              </w:rPr>
            </w:pPr>
          </w:p>
        </w:tc>
      </w:tr>
      <w:tr>
        <w:trPr>
          <w:trHeight w:val="20"/>
        </w:trPr>
        <w:tc>
          <w:tcPr>
            <w:tcW w:w="3300" w:type="dxa"/>
            <w:vAlign w:val="bottom"/>
            <w:gridSpan w:val="2"/>
            <w:shd w:val="clear" w:color="auto" w:fill="0563C1"/>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42"/>
        </w:trPr>
        <w:tc>
          <w:tcPr>
            <w:tcW w:w="54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104 Cover page Interactive Data File (embedded within Inline</w:t>
            </w:r>
          </w:p>
        </w:tc>
        <w:tc>
          <w:tcPr>
            <w:tcW w:w="108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104</w:t>
            </w:r>
          </w:p>
        </w:tc>
        <w:tc>
          <w:tcPr>
            <w:tcW w:w="40" w:type="dxa"/>
            <w:vAlign w:val="bottom"/>
          </w:tcPr>
          <w:p>
            <w:pPr>
              <w:spacing w:after="0"/>
              <w:rPr>
                <w:sz w:val="24"/>
                <w:szCs w:val="24"/>
                <w:color w:val="auto"/>
              </w:rPr>
            </w:pPr>
          </w:p>
        </w:tc>
      </w:tr>
      <w:tr>
        <w:trPr>
          <w:trHeight w:val="259"/>
        </w:trPr>
        <w:tc>
          <w:tcPr>
            <w:tcW w:w="54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XBRL document)</w:t>
            </w: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pacing w:after="0"/>
        <w:rPr>
          <w:sz w:val="20"/>
          <w:szCs w:val="20"/>
          <w:color w:val="auto"/>
        </w:rPr>
        <w:sectPr>
          <w:pgSz w:w="11900" w:h="16838" w:orient="portrait"/>
          <w:cols w:equalWidth="0" w:num="1">
            <w:col w:w="9019"/>
          </w:cols>
          <w:pgMar w:left="1440" w:top="1125"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9019"/>
          </w:cols>
          <w:pgMar w:left="1440" w:top="1125" w:right="1440" w:bottom="1440" w:gutter="0" w:footer="0" w:header="0"/>
          <w:type w:val="continuous"/>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99.1</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NEWS RELEASE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 IMMEDIATE RELEASE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Further Information Contact:</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Charles D. Knight</w:t>
      </w:r>
    </w:p>
    <w:p>
      <w:pPr>
        <w:ind w:left="660"/>
        <w:spacing w:after="0" w:line="225" w:lineRule="auto"/>
        <w:rPr>
          <w:sz w:val="20"/>
          <w:szCs w:val="20"/>
          <w:color w:val="auto"/>
        </w:rPr>
      </w:pPr>
      <w:r>
        <w:rPr>
          <w:rFonts w:ascii="Times New Roman" w:cs="Times New Roman" w:eastAsia="Times New Roman" w:hAnsi="Times New Roman"/>
          <w:sz w:val="20"/>
          <w:szCs w:val="20"/>
          <w:color w:val="auto"/>
        </w:rPr>
        <w:t>Executive Vice President</w:t>
      </w:r>
    </w:p>
    <w:p>
      <w:pPr>
        <w:ind w:left="660"/>
        <w:spacing w:after="0"/>
        <w:rPr>
          <w:sz w:val="20"/>
          <w:szCs w:val="20"/>
          <w:color w:val="auto"/>
        </w:rPr>
      </w:pPr>
      <w:r>
        <w:rPr>
          <w:rFonts w:ascii="Times New Roman" w:cs="Times New Roman" w:eastAsia="Times New Roman" w:hAnsi="Times New Roman"/>
          <w:sz w:val="20"/>
          <w:szCs w:val="20"/>
          <w:color w:val="auto"/>
        </w:rPr>
        <w:t>Chief Financial Officer</w:t>
      </w:r>
    </w:p>
    <w:p>
      <w:pPr>
        <w:ind w:left="660"/>
        <w:spacing w:after="0"/>
        <w:rPr>
          <w:sz w:val="20"/>
          <w:szCs w:val="20"/>
          <w:color w:val="auto"/>
        </w:rPr>
      </w:pPr>
      <w:r>
        <w:rPr>
          <w:rFonts w:ascii="Times New Roman" w:cs="Times New Roman" w:eastAsia="Times New Roman" w:hAnsi="Times New Roman"/>
          <w:sz w:val="20"/>
          <w:szCs w:val="20"/>
          <w:color w:val="auto"/>
        </w:rPr>
        <w:t>InvestorRelations@catocorp.com</w:t>
      </w:r>
    </w:p>
    <w:p>
      <w:pPr>
        <w:spacing w:after="0" w:line="2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CATO REPORTS 1Q EARNINGS</w:t>
      </w:r>
    </w:p>
    <w:p>
      <w:pPr>
        <w:spacing w:after="0" w:line="247"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color w:val="auto"/>
        </w:rPr>
        <w:t>CHARLOTTE, N.C. (May 21, 2026) – The Cato Corporation (NYSE: CATO) today reported net income of $9.3 million or $0.47 per diluted share for the first quarter ended May 2, 2026, compared to net income of $3.3 million or $0.17 per diluted share for the first quarter ended May 3, 2025.</w:t>
      </w:r>
    </w:p>
    <w:p>
      <w:pPr>
        <w:spacing w:after="0" w:line="174"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Sales for the first quarter ended May 2, 2026 were $169.5 million, or an increase of 0.7% from sales of $168.4 million for the first quarter ended May 3, 2025. The Company’s same-store sales for the quarter increased 3%.</w:t>
      </w:r>
    </w:p>
    <w:p>
      <w:pPr>
        <w:spacing w:after="0" w:line="159"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20"/>
          <w:szCs w:val="20"/>
          <w:color w:val="333333"/>
        </w:rPr>
        <w:t>"Our results significantly benefited from the refund claim of IEEPA (International Emergency Economic Powers Act) tariffs in the quarter. Our sales trend softened as the quarter continued in part due to higher fuel prices pressuring our customers’ discretionary income,” said John Cato, Chairman, President and Chief Executive Officer.</w:t>
      </w:r>
      <w:r>
        <w:rPr>
          <w:rFonts w:ascii="Times New Roman" w:cs="Times New Roman" w:eastAsia="Times New Roman" w:hAnsi="Times New Roman"/>
          <w:sz w:val="20"/>
          <w:szCs w:val="20"/>
          <w:b w:val="1"/>
          <w:bCs w:val="1"/>
          <w:color w:val="333333"/>
        </w:rPr>
        <w:t>”</w:t>
      </w:r>
      <w:r>
        <w:rPr>
          <w:rFonts w:ascii="Times New Roman" w:cs="Times New Roman" w:eastAsia="Times New Roman" w:hAnsi="Times New Roman"/>
          <w:sz w:val="20"/>
          <w:szCs w:val="20"/>
          <w:color w:val="333333"/>
        </w:rPr>
        <w:t xml:space="preserve"> For the foreseeable future we expect our sales to be negatively impacted by rising inflation, especially fuel and food prices, which will reduce our customers’ discretionary income.”</w:t>
      </w:r>
    </w:p>
    <w:p>
      <w:pPr>
        <w:spacing w:after="0" w:line="186"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20"/>
          <w:szCs w:val="20"/>
          <w:color w:val="333333"/>
        </w:rPr>
        <w:t xml:space="preserve">First quarter gross margin as a percentage of sales was 37.2% in 2026 and 35.1% in 2025. </w:t>
      </w:r>
      <w:r>
        <w:rPr>
          <w:rFonts w:ascii="Times New Roman" w:cs="Times New Roman" w:eastAsia="Times New Roman" w:hAnsi="Times New Roman"/>
          <w:sz w:val="20"/>
          <w:szCs w:val="20"/>
          <w:color w:val="000000"/>
        </w:rPr>
        <w:t>The increase in gross margin as</w:t>
      </w:r>
      <w:r>
        <w:rPr>
          <w:rFonts w:ascii="Times New Roman" w:cs="Times New Roman" w:eastAsia="Times New Roman" w:hAnsi="Times New Roman"/>
          <w:sz w:val="20"/>
          <w:szCs w:val="20"/>
          <w:color w:val="333333"/>
        </w:rPr>
        <w:t xml:space="preserve"> </w:t>
      </w:r>
      <w:r>
        <w:rPr>
          <w:rFonts w:ascii="Times New Roman" w:cs="Times New Roman" w:eastAsia="Times New Roman" w:hAnsi="Times New Roman"/>
          <w:sz w:val="20"/>
          <w:szCs w:val="20"/>
          <w:color w:val="000000"/>
        </w:rPr>
        <w:t xml:space="preserve">a percentage of sales is due in part to a pre-tax $5.7 million tariff refund claim partially offset by lower merchandise contribution caused in part by higher sales of marked-down goods. Selling, General and Administrative expense decreased to $53.9 million in the first quarter of 2026 from $55.3 million in 2025 due to decreases in corporate payroll expense, insurance costs and equipment maintenance partially offset by incentive compensation expense. Selling, General and Administrative expense as a percentage of sales decreased to 31.8% in 2026 compared to 32.8% in 2025. Interest and other income were $1.2 million in both 2026 and 2025. </w:t>
      </w:r>
      <w:r>
        <w:rPr>
          <w:rFonts w:ascii="Times New Roman" w:cs="Times New Roman" w:eastAsia="Times New Roman" w:hAnsi="Times New Roman"/>
          <w:sz w:val="20"/>
          <w:szCs w:val="20"/>
          <w:color w:val="333333"/>
        </w:rPr>
        <w:t>Income tax expense for the quarter decreased to $0.5 million in</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333333"/>
        </w:rPr>
        <w:t xml:space="preserve">2026 from </w:t>
      </w:r>
      <w:r>
        <w:rPr>
          <w:rFonts w:ascii="Times New Roman" w:cs="Times New Roman" w:eastAsia="Times New Roman" w:hAnsi="Times New Roman"/>
          <w:sz w:val="20"/>
          <w:szCs w:val="20"/>
          <w:color w:val="000000"/>
        </w:rPr>
        <w:t>$0.9 million in 2025. The decrease in tax expense is primarily due to a reduction in foreign taxes.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Additionally, the Company bought back 107,823 shares during the quarter.</w:t>
      </w:r>
    </w:p>
    <w:p>
      <w:pPr>
        <w:spacing w:after="0" w:line="297"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20"/>
          <w:szCs w:val="20"/>
          <w:color w:val="auto"/>
        </w:rPr>
        <w:t>During the first quarter ended May 2, 2026, the Company opened two stores and closed six stores. As of May 2, 2026, the Company operated 1,065 stores in 31 states, compared to 1,109 stores in 31 states as of May 2, 2025.</w:t>
      </w:r>
    </w:p>
    <w:p>
      <w:pPr>
        <w:spacing w:after="0" w:line="185"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20"/>
          <w:szCs w:val="20"/>
          <w:color w:val="auto"/>
        </w:rPr>
        <w:t>The Cato Corporation is a leading specialty retailer of value-priced fashion apparel and accessories operating three concepts, “Cato,” “Versona” and “It’s Fashion.” The Company’s Cato stores offer exclusive merchandise with fashion and quality comparable to mall specialty stores at low prices every day. The Company also offers exclusive merchandise found in its Cato stores at www.catofashions.com. Versona is a unique fashion destination offering apparel and accessories including jewelry, handbags and shoes at exceptional prices every day. Select Versona merchandise can also be found at www.shopversona.com. It’s Fashion offers fashion with a focus on the latest trendy styles for the entire family at low prices every day.</w:t>
      </w:r>
    </w:p>
    <w:p>
      <w:pPr>
        <w:sectPr>
          <w:pgSz w:w="11900" w:h="16838" w:orient="portrait"/>
          <w:cols w:equalWidth="0" w:num="1">
            <w:col w:w="9820"/>
          </w:cols>
          <w:pgMar w:left="1080" w:top="1111" w:right="999" w:bottom="1440" w:gutter="0" w:footer="0" w:header="0"/>
        </w:sectPr>
      </w:pPr>
    </w:p>
    <w:p>
      <w:pPr>
        <w:spacing w:after="0" w:line="298" w:lineRule="exact"/>
        <w:rPr>
          <w:sz w:val="20"/>
          <w:szCs w:val="20"/>
          <w:color w:val="auto"/>
        </w:rPr>
      </w:pPr>
    </w:p>
    <w:p>
      <w:pPr>
        <w:ind w:right="420"/>
        <w:spacing w:after="0" w:line="276" w:lineRule="auto"/>
        <w:rPr>
          <w:sz w:val="20"/>
          <w:szCs w:val="20"/>
          <w:color w:val="auto"/>
        </w:rPr>
      </w:pPr>
      <w:r>
        <w:rPr>
          <w:rFonts w:ascii="Times New Roman" w:cs="Times New Roman" w:eastAsia="Times New Roman" w:hAnsi="Times New Roman"/>
          <w:sz w:val="19"/>
          <w:szCs w:val="19"/>
          <w:i w:val="1"/>
          <w:iCs w:val="1"/>
          <w:color w:val="333333"/>
        </w:rPr>
        <w:t xml:space="preserve">Statements in this press release that express a belief, expectation or intention, as well as those that are not a historical fact, </w:t>
      </w:r>
      <w:r>
        <w:rPr>
          <w:rFonts w:ascii="Times New Roman" w:cs="Times New Roman" w:eastAsia="Times New Roman" w:hAnsi="Times New Roman"/>
          <w:sz w:val="19"/>
          <w:szCs w:val="19"/>
          <w:i w:val="1"/>
          <w:iCs w:val="1"/>
          <w:color w:val="000000"/>
        </w:rPr>
        <w:t>including, without limitation, statements regarding the Company’s expected or estimated operational financial</w:t>
      </w:r>
      <w:r>
        <w:rPr>
          <w:rFonts w:ascii="Times New Roman" w:cs="Times New Roman" w:eastAsia="Times New Roman" w:hAnsi="Times New Roman"/>
          <w:sz w:val="19"/>
          <w:szCs w:val="19"/>
          <w:i w:val="1"/>
          <w:iCs w:val="1"/>
          <w:color w:val="333333"/>
        </w:rPr>
        <w:t xml:space="preserve"> </w:t>
      </w:r>
      <w:r>
        <w:rPr>
          <w:rFonts w:ascii="Times New Roman" w:cs="Times New Roman" w:eastAsia="Times New Roman" w:hAnsi="Times New Roman"/>
          <w:sz w:val="19"/>
          <w:szCs w:val="19"/>
          <w:i w:val="1"/>
          <w:iCs w:val="1"/>
          <w:color w:val="000000"/>
        </w:rPr>
        <w:t>results, activities or opportunities, and potential impacts and effects of events, risks or contingencies are considered</w:t>
      </w:r>
    </w:p>
    <w:p>
      <w:pPr>
        <w:sectPr>
          <w:pgSz w:w="11900" w:h="16838" w:orient="portrait"/>
          <w:cols w:equalWidth="0" w:num="1">
            <w:col w:w="9820"/>
          </w:cols>
          <w:pgMar w:left="1080" w:top="1111" w:right="999" w:bottom="1440" w:gutter="0" w:footer="0" w:header="0"/>
          <w:type w:val="continuous"/>
        </w:sectPr>
      </w:pPr>
    </w:p>
    <w:bookmarkStart w:id="5" w:name="page6"/>
    <w:bookmarkEnd w:id="5"/>
    <w:p>
      <w:pPr>
        <w:spacing w:after="0" w:line="239" w:lineRule="auto"/>
        <w:rPr>
          <w:sz w:val="20"/>
          <w:szCs w:val="20"/>
          <w:color w:val="auto"/>
        </w:rPr>
      </w:pPr>
      <w:r>
        <w:rPr>
          <w:rFonts w:ascii="Times New Roman" w:cs="Times New Roman" w:eastAsia="Times New Roman" w:hAnsi="Times New Roman"/>
          <w:sz w:val="20"/>
          <w:szCs w:val="20"/>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“forward-looking” within the meaning of The Private Securities Litigation Reform Act of 1995. Such forward-looking statements are based on current expectations that are subject to known and unknown risks, uncertainties and other factors that could cause actual results to differ materially from those contemplated by the forward-looking statements. Such factors include, but are not limited to, any actual or perceived deterioration in the conditions that drive consumer confidence and spending, including, but not limited to, prevailing social, economic, political and public health conditions and uncertainties, levels of unemployment, fuel, energy and food costs, inflation, wage rates, tax rates, interest rates, home values, consumer net worth and the availability of credit; changes in laws or regulations affecting our business, including but not limited to tariffs and taxes; uncertainties regarding the impact of any governmental action regarding, or responses to, the foregoing conditions; competitive factors and pricing pressures; our ability to predict and respond to rapidly changing fashion trends and consumer demands; our ability to open new stores in attractive locations and the ability of any such new stores to grow and perform as expected; underperformance or other factors that may lead to a continuation or acceleration of store closures and negative affect on the Company’s profitability; adverse weather, public health threats, acts of war or aggression or similar conditions that may affect our sales or operations; inventory risks due to shifts in market demand, including the ability to liquidate excess inventory at anticipated margins; and other factors discussed under “Risk Factors” in Part I, Item 1A of the Company’s most recently filed annual report on Form 10-K and in other reports the Company files with or furnishes to the SEC from time to time. The Company does not undertake to publicly update or revise the forward-looking statements even if experience or future changes make it clear that the projected results expressed or implied therein will not be realized. The Company is not responsible for any changes made to this press release by wire or Internet services.</w:t>
      </w:r>
    </w:p>
    <w:p>
      <w:pPr>
        <w:sectPr>
          <w:pgSz w:w="11900" w:h="16838" w:orient="portrait"/>
          <w:cols w:equalWidth="0" w:num="1">
            <w:col w:w="9720"/>
          </w:cols>
          <w:pgMar w:left="1080" w:top="881" w:right="10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CATO CORPORATION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CONDENSED CONSOLIDATED STATEMENTS OF INCOME (UNAUDITED)</w:t>
      </w:r>
    </w:p>
    <w:p>
      <w:pPr>
        <w:spacing w:after="0" w:line="236" w:lineRule="auto"/>
        <w:rPr>
          <w:sz w:val="20"/>
          <w:szCs w:val="20"/>
          <w:color w:val="auto"/>
        </w:rPr>
      </w:pPr>
      <w:r>
        <w:rPr>
          <w:rFonts w:ascii="Times New Roman" w:cs="Times New Roman" w:eastAsia="Times New Roman" w:hAnsi="Times New Roman"/>
          <w:sz w:val="20"/>
          <w:szCs w:val="20"/>
          <w:b w:val="1"/>
          <w:bCs w:val="1"/>
          <w:color w:val="auto"/>
        </w:rPr>
        <w:t>FOR THE PERIODS ENDED May 2, 2026 AND May 3,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(Dollars in thousands, except per share data)</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5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429"/>
        </w:trPr>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May 2</w:t>
            </w:r>
          </w:p>
        </w:tc>
        <w:tc>
          <w:tcPr>
            <w:tcW w:w="5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May 3</w:t>
            </w:r>
          </w:p>
        </w:tc>
        <w:tc>
          <w:tcPr>
            <w:tcW w:w="5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r>
      <w:tr>
        <w:trPr>
          <w:trHeight w:val="199"/>
        </w:trPr>
        <w:tc>
          <w:tcPr>
            <w:tcW w:w="2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7"/>
                <w:szCs w:val="17"/>
                <w:color w:val="auto"/>
              </w:rPr>
            </w:pP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20" w:type="dxa"/>
            <w:vAlign w:val="bottom"/>
          </w:tcPr>
          <w:p>
            <w:pPr>
              <w:spacing w:after="0"/>
              <w:rPr>
                <w:sz w:val="17"/>
                <w:szCs w:val="17"/>
                <w:color w:val="auto"/>
              </w:rPr>
            </w:pPr>
          </w:p>
        </w:tc>
        <w:tc>
          <w:tcPr>
            <w:tcW w:w="8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7"/>
                <w:szCs w:val="17"/>
                <w:color w:val="auto"/>
              </w:rPr>
            </w:pPr>
          </w:p>
        </w:tc>
        <w:tc>
          <w:tcPr>
            <w:tcW w:w="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Sales</w:t>
            </w:r>
          </w:p>
        </w:tc>
      </w:tr>
      <w:tr>
        <w:trPr>
          <w:trHeight w:val="429"/>
        </w:trPr>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5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Retail sales</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169,410</w:t>
            </w: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c>
          <w:tcPr>
            <w:tcW w:w="20" w:type="dxa"/>
            <w:vAlign w:val="bottom"/>
          </w:tcPr>
          <w:p>
            <w:pPr>
              <w:spacing w:after="0"/>
              <w:rPr>
                <w:sz w:val="18"/>
                <w:szCs w:val="18"/>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168,419</w:t>
            </w: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16"/>
        </w:trPr>
        <w:tc>
          <w:tcPr>
            <w:tcW w:w="25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 revenue (principally finance,</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9"/>
        </w:trPr>
        <w:tc>
          <w:tcPr>
            <w:tcW w:w="25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late fees and layaway charges)</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1,694</w:t>
            </w:r>
          </w:p>
        </w:tc>
        <w:tc>
          <w:tcPr>
            <w:tcW w:w="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1,823</w:t>
            </w:r>
          </w:p>
        </w:tc>
        <w:tc>
          <w:tcPr>
            <w:tcW w:w="8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0"/>
        </w:trPr>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5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 revenues</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171,104</w:t>
            </w: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101.0%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170,242</w:t>
            </w:r>
          </w:p>
        </w:tc>
        <w:tc>
          <w:tcPr>
            <w:tcW w:w="8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101.1%</w:t>
            </w:r>
          </w:p>
        </w:tc>
      </w:tr>
      <w:tr>
        <w:trPr>
          <w:trHeight w:val="20"/>
        </w:trPr>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9"/>
        </w:trPr>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GROSS MARGIN (Memo)</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63,070</w:t>
            </w: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37.2%</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59,101</w:t>
            </w:r>
          </w:p>
        </w:tc>
        <w:tc>
          <w:tcPr>
            <w:tcW w:w="8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35.1%</w:t>
            </w:r>
          </w:p>
        </w:tc>
      </w:tr>
      <w:tr>
        <w:trPr>
          <w:trHeight w:val="432"/>
        </w:trPr>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COSTS AND EXPENSES, NET</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5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Cost of goods sold</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106,340</w:t>
            </w: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109,318</w:t>
            </w: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64.9%</w:t>
            </w:r>
          </w:p>
        </w:tc>
      </w:tr>
      <w:tr>
        <w:trPr>
          <w:trHeight w:val="216"/>
        </w:trPr>
        <w:tc>
          <w:tcPr>
            <w:tcW w:w="25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53,930</w:t>
            </w: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55,325</w:t>
            </w: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32.8%</w:t>
            </w:r>
          </w:p>
        </w:tc>
      </w:tr>
      <w:tr>
        <w:trPr>
          <w:trHeight w:val="216"/>
        </w:trPr>
        <w:tc>
          <w:tcPr>
            <w:tcW w:w="25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Depreciation</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2,236</w:t>
            </w: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2,564</w:t>
            </w: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99"/>
        </w:trPr>
        <w:tc>
          <w:tcPr>
            <w:tcW w:w="25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Interest and other income</w:t>
            </w:r>
          </w:p>
        </w:tc>
        <w:tc>
          <w:tcPr>
            <w:tcW w:w="2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(1,233)</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(1,202)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20"/>
        </w:trPr>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Costs and expenses, net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161,273</w:t>
            </w: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95.2%</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166,005</w:t>
            </w:r>
          </w:p>
        </w:tc>
        <w:tc>
          <w:tcPr>
            <w:tcW w:w="8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98.6%</w:t>
            </w:r>
          </w:p>
        </w:tc>
      </w:tr>
      <w:tr>
        <w:trPr>
          <w:trHeight w:val="20"/>
        </w:trPr>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45"/>
        </w:trPr>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9,831</w:t>
            </w: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5.8%</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4,237</w:t>
            </w:r>
          </w:p>
        </w:tc>
        <w:tc>
          <w:tcPr>
            <w:tcW w:w="8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415"/>
        </w:trPr>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522</w:t>
            </w: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8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20"/>
        </w:trPr>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9,309</w:t>
            </w: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5.5%</w:t>
            </w:r>
          </w:p>
        </w:tc>
        <w:tc>
          <w:tcPr>
            <w:tcW w:w="2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3,309</w:t>
            </w:r>
          </w:p>
        </w:tc>
        <w:tc>
          <w:tcPr>
            <w:tcW w:w="8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0"/>
        </w:trPr>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02"/>
        </w:trPr>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Basic Earnings Per Share</w:t>
            </w: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0.47</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15"/>
        </w:trPr>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0.47</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9379"/>
          </w:cols>
          <w:pgMar w:left="1080" w:top="881"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THE CATO CORPORATION</w:t>
      </w:r>
    </w:p>
    <w:p>
      <w:pPr>
        <w:spacing w:after="0" w:line="26" w:lineRule="exact"/>
        <w:rPr>
          <w:sz w:val="20"/>
          <w:szCs w:val="20"/>
          <w:color w:val="auto"/>
        </w:rPr>
      </w:pPr>
    </w:p>
    <w:p>
      <w:pPr>
        <w:ind w:right="463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CONDENSED CONSOLIDATED BALANCE SHEETS </w:t>
      </w:r>
      <w:r>
        <w:rPr>
          <w:rFonts w:ascii="Times New Roman" w:cs="Times New Roman" w:eastAsia="Times New Roman" w:hAnsi="Times New Roman"/>
          <w:sz w:val="20"/>
          <w:szCs w:val="20"/>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May 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January 31,</w:t>
            </w:r>
          </w:p>
        </w:tc>
        <w:tc>
          <w:tcPr>
            <w:tcW w:w="0" w:type="dxa"/>
            <w:vAlign w:val="bottom"/>
          </w:tcPr>
          <w:p>
            <w:pPr>
              <w:spacing w:after="0"/>
              <w:rPr>
                <w:sz w:val="1"/>
                <w:szCs w:val="1"/>
                <w:color w:val="auto"/>
              </w:rPr>
            </w:pPr>
          </w:p>
        </w:tc>
      </w:tr>
      <w:tr>
        <w:trPr>
          <w:trHeight w:val="224"/>
        </w:trPr>
        <w:tc>
          <w:tcPr>
            <w:tcW w:w="5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2026</w:t>
            </w:r>
          </w:p>
        </w:tc>
        <w:tc>
          <w:tcPr>
            <w:tcW w:w="0" w:type="dxa"/>
            <w:vAlign w:val="bottom"/>
          </w:tcPr>
          <w:p>
            <w:pPr>
              <w:spacing w:after="0"/>
              <w:rPr>
                <w:sz w:val="1"/>
                <w:szCs w:val="1"/>
                <w:color w:val="auto"/>
              </w:rPr>
            </w:pPr>
          </w:p>
        </w:tc>
      </w:tr>
      <w:tr>
        <w:trPr>
          <w:trHeight w:val="222"/>
        </w:trPr>
        <w:tc>
          <w:tcPr>
            <w:tcW w:w="5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(Unaudited)</w:t>
            </w:r>
          </w:p>
        </w:tc>
        <w:tc>
          <w:tcPr>
            <w:tcW w:w="0" w:type="dxa"/>
            <w:vAlign w:val="bottom"/>
          </w:tcPr>
          <w:p>
            <w:pPr>
              <w:spacing w:after="0"/>
              <w:rPr>
                <w:sz w:val="1"/>
                <w:szCs w:val="1"/>
                <w:color w:val="auto"/>
              </w:rPr>
            </w:pPr>
          </w:p>
        </w:tc>
      </w:tr>
      <w:tr>
        <w:trPr>
          <w:trHeight w:val="487"/>
        </w:trPr>
        <w:tc>
          <w:tcPr>
            <w:tcW w:w="5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2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25,412</w:t>
            </w:r>
          </w:p>
        </w:tc>
        <w:tc>
          <w:tcPr>
            <w:tcW w:w="5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16,788</w:t>
            </w:r>
          </w:p>
        </w:tc>
        <w:tc>
          <w:tcPr>
            <w:tcW w:w="0" w:type="dxa"/>
            <w:vAlign w:val="bottom"/>
          </w:tcPr>
          <w:p>
            <w:pPr>
              <w:spacing w:after="0"/>
              <w:rPr>
                <w:sz w:val="1"/>
                <w:szCs w:val="1"/>
                <w:color w:val="auto"/>
              </w:rPr>
            </w:pPr>
          </w:p>
        </w:tc>
      </w:tr>
      <w:tr>
        <w:trPr>
          <w:trHeight w:val="243"/>
        </w:trPr>
        <w:tc>
          <w:tcPr>
            <w:tcW w:w="52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Short-term investments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55,558</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56,859</w:t>
            </w:r>
          </w:p>
        </w:tc>
        <w:tc>
          <w:tcPr>
            <w:tcW w:w="0" w:type="dxa"/>
            <w:vAlign w:val="bottom"/>
          </w:tcPr>
          <w:p>
            <w:pPr>
              <w:spacing w:after="0"/>
              <w:rPr>
                <w:sz w:val="1"/>
                <w:szCs w:val="1"/>
                <w:color w:val="auto"/>
              </w:rPr>
            </w:pPr>
          </w:p>
        </w:tc>
      </w:tr>
      <w:tr>
        <w:trPr>
          <w:trHeight w:val="243"/>
        </w:trPr>
        <w:tc>
          <w:tcPr>
            <w:tcW w:w="52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2,675</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0" w:type="dxa"/>
            <w:vAlign w:val="bottom"/>
          </w:tcPr>
          <w:p>
            <w:pPr>
              <w:spacing w:after="0"/>
              <w:rPr>
                <w:sz w:val="1"/>
                <w:szCs w:val="1"/>
                <w:color w:val="auto"/>
              </w:rPr>
            </w:pPr>
          </w:p>
        </w:tc>
      </w:tr>
      <w:tr>
        <w:trPr>
          <w:trHeight w:val="243"/>
        </w:trPr>
        <w:tc>
          <w:tcPr>
            <w:tcW w:w="52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Accounts receivable - net</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33,159</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25,462</w:t>
            </w:r>
          </w:p>
        </w:tc>
        <w:tc>
          <w:tcPr>
            <w:tcW w:w="0" w:type="dxa"/>
            <w:vAlign w:val="bottom"/>
          </w:tcPr>
          <w:p>
            <w:pPr>
              <w:spacing w:after="0"/>
              <w:rPr>
                <w:sz w:val="1"/>
                <w:szCs w:val="1"/>
                <w:color w:val="auto"/>
              </w:rPr>
            </w:pPr>
          </w:p>
        </w:tc>
      </w:tr>
      <w:tr>
        <w:trPr>
          <w:trHeight w:val="243"/>
        </w:trPr>
        <w:tc>
          <w:tcPr>
            <w:tcW w:w="52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Merchandise inventories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92,490</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83,696</w:t>
            </w:r>
          </w:p>
        </w:tc>
        <w:tc>
          <w:tcPr>
            <w:tcW w:w="0" w:type="dxa"/>
            <w:vAlign w:val="bottom"/>
          </w:tcPr>
          <w:p>
            <w:pPr>
              <w:spacing w:after="0"/>
              <w:rPr>
                <w:sz w:val="1"/>
                <w:szCs w:val="1"/>
                <w:color w:val="auto"/>
              </w:rPr>
            </w:pPr>
          </w:p>
        </w:tc>
      </w:tr>
      <w:tr>
        <w:trPr>
          <w:trHeight w:val="222"/>
        </w:trPr>
        <w:tc>
          <w:tcPr>
            <w:tcW w:w="52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7,928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7,787</w:t>
            </w:r>
          </w:p>
        </w:tc>
        <w:tc>
          <w:tcPr>
            <w:tcW w:w="0" w:type="dxa"/>
            <w:vAlign w:val="bottom"/>
          </w:tcPr>
          <w:p>
            <w:pPr>
              <w:spacing w:after="0"/>
              <w:rPr>
                <w:sz w:val="1"/>
                <w:szCs w:val="1"/>
                <w:color w:val="auto"/>
              </w:rPr>
            </w:pPr>
          </w:p>
        </w:tc>
      </w:tr>
      <w:tr>
        <w:trPr>
          <w:trHeight w:val="487"/>
        </w:trPr>
        <w:tc>
          <w:tcPr>
            <w:tcW w:w="5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217,222</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193,267</w:t>
            </w:r>
          </w:p>
        </w:tc>
        <w:tc>
          <w:tcPr>
            <w:tcW w:w="0" w:type="dxa"/>
            <w:vAlign w:val="bottom"/>
          </w:tcPr>
          <w:p>
            <w:pPr>
              <w:spacing w:after="0"/>
              <w:rPr>
                <w:sz w:val="1"/>
                <w:szCs w:val="1"/>
                <w:color w:val="auto"/>
              </w:rPr>
            </w:pPr>
          </w:p>
        </w:tc>
      </w:tr>
      <w:tr>
        <w:trPr>
          <w:trHeight w:val="486"/>
        </w:trPr>
        <w:tc>
          <w:tcPr>
            <w:tcW w:w="5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Property and Equipment - net</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52,504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53,748</w:t>
            </w:r>
          </w:p>
        </w:tc>
        <w:tc>
          <w:tcPr>
            <w:tcW w:w="0" w:type="dxa"/>
            <w:vAlign w:val="bottom"/>
          </w:tcPr>
          <w:p>
            <w:pPr>
              <w:spacing w:after="0"/>
              <w:rPr>
                <w:sz w:val="1"/>
                <w:szCs w:val="1"/>
                <w:color w:val="auto"/>
              </w:rPr>
            </w:pPr>
          </w:p>
        </w:tc>
      </w:tr>
      <w:tr>
        <w:trPr>
          <w:trHeight w:val="486"/>
        </w:trPr>
        <w:tc>
          <w:tcPr>
            <w:tcW w:w="5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20,720</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20,471</w:t>
            </w:r>
          </w:p>
        </w:tc>
        <w:tc>
          <w:tcPr>
            <w:tcW w:w="0" w:type="dxa"/>
            <w:vAlign w:val="bottom"/>
          </w:tcPr>
          <w:p>
            <w:pPr>
              <w:spacing w:after="0"/>
              <w:rPr>
                <w:sz w:val="1"/>
                <w:szCs w:val="1"/>
                <w:color w:val="auto"/>
              </w:rPr>
            </w:pPr>
          </w:p>
        </w:tc>
      </w:tr>
      <w:tr>
        <w:trPr>
          <w:trHeight w:val="465"/>
        </w:trPr>
        <w:tc>
          <w:tcPr>
            <w:tcW w:w="5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Right-of-Use Assets, net</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148,734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153,933</w:t>
            </w:r>
          </w:p>
        </w:tc>
        <w:tc>
          <w:tcPr>
            <w:tcW w:w="0" w:type="dxa"/>
            <w:vAlign w:val="bottom"/>
          </w:tcPr>
          <w:p>
            <w:pPr>
              <w:spacing w:after="0"/>
              <w:rPr>
                <w:sz w:val="1"/>
                <w:szCs w:val="1"/>
                <w:color w:val="auto"/>
              </w:rPr>
            </w:pPr>
          </w:p>
        </w:tc>
      </w:tr>
      <w:tr>
        <w:trPr>
          <w:trHeight w:val="466"/>
        </w:trPr>
        <w:tc>
          <w:tcPr>
            <w:tcW w:w="52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439,180</w:t>
            </w:r>
          </w:p>
        </w:tc>
        <w:tc>
          <w:tcPr>
            <w:tcW w:w="5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421,419</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2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116,130</w:t>
            </w:r>
          </w:p>
        </w:tc>
        <w:tc>
          <w:tcPr>
            <w:tcW w:w="5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102,385</w:t>
            </w:r>
          </w:p>
        </w:tc>
        <w:tc>
          <w:tcPr>
            <w:tcW w:w="0" w:type="dxa"/>
            <w:vAlign w:val="bottom"/>
          </w:tcPr>
          <w:p>
            <w:pPr>
              <w:spacing w:after="0"/>
              <w:rPr>
                <w:sz w:val="1"/>
                <w:szCs w:val="1"/>
                <w:color w:val="auto"/>
              </w:rPr>
            </w:pPr>
          </w:p>
        </w:tc>
      </w:tr>
      <w:tr>
        <w:trPr>
          <w:trHeight w:val="486"/>
        </w:trPr>
        <w:tc>
          <w:tcPr>
            <w:tcW w:w="5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Lease Liability</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52,088</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53,507</w:t>
            </w:r>
          </w:p>
        </w:tc>
        <w:tc>
          <w:tcPr>
            <w:tcW w:w="0" w:type="dxa"/>
            <w:vAlign w:val="bottom"/>
          </w:tcPr>
          <w:p>
            <w:pPr>
              <w:spacing w:after="0"/>
              <w:rPr>
                <w:sz w:val="1"/>
                <w:szCs w:val="1"/>
                <w:color w:val="auto"/>
              </w:rPr>
            </w:pPr>
          </w:p>
        </w:tc>
      </w:tr>
      <w:tr>
        <w:trPr>
          <w:trHeight w:val="486"/>
        </w:trPr>
        <w:tc>
          <w:tcPr>
            <w:tcW w:w="5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11,318</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11,272</w:t>
            </w:r>
          </w:p>
        </w:tc>
        <w:tc>
          <w:tcPr>
            <w:tcW w:w="0" w:type="dxa"/>
            <w:vAlign w:val="bottom"/>
          </w:tcPr>
          <w:p>
            <w:pPr>
              <w:spacing w:after="0"/>
              <w:rPr>
                <w:sz w:val="1"/>
                <w:szCs w:val="1"/>
                <w:color w:val="auto"/>
              </w:rPr>
            </w:pPr>
          </w:p>
        </w:tc>
      </w:tr>
      <w:tr>
        <w:trPr>
          <w:trHeight w:val="486"/>
        </w:trPr>
        <w:tc>
          <w:tcPr>
            <w:tcW w:w="5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 Liability</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92,939</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96,941</w:t>
            </w:r>
          </w:p>
        </w:tc>
        <w:tc>
          <w:tcPr>
            <w:tcW w:w="0" w:type="dxa"/>
            <w:vAlign w:val="bottom"/>
          </w:tcPr>
          <w:p>
            <w:pPr>
              <w:spacing w:after="0"/>
              <w:rPr>
                <w:sz w:val="1"/>
                <w:szCs w:val="1"/>
                <w:color w:val="auto"/>
              </w:rPr>
            </w:pPr>
          </w:p>
        </w:tc>
      </w:tr>
      <w:tr>
        <w:trPr>
          <w:trHeight w:val="465"/>
        </w:trPr>
        <w:tc>
          <w:tcPr>
            <w:tcW w:w="5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166,705</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157,314</w:t>
            </w:r>
          </w:p>
        </w:tc>
        <w:tc>
          <w:tcPr>
            <w:tcW w:w="0" w:type="dxa"/>
            <w:vAlign w:val="bottom"/>
          </w:tcPr>
          <w:p>
            <w:pPr>
              <w:spacing w:after="0"/>
              <w:rPr>
                <w:sz w:val="1"/>
                <w:szCs w:val="1"/>
                <w:color w:val="auto"/>
              </w:rPr>
            </w:pPr>
          </w:p>
        </w:tc>
      </w:tr>
      <w:tr>
        <w:trPr>
          <w:trHeight w:val="439"/>
        </w:trPr>
        <w:tc>
          <w:tcPr>
            <w:tcW w:w="52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439,180</w:t>
            </w:r>
          </w:p>
        </w:tc>
        <w:tc>
          <w:tcPr>
            <w:tcW w:w="5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421,419</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379"/>
          </w:cols>
          <w:pgMar w:left="1080" w:top="881" w:right="1440" w:bottom="1440" w:gutter="0" w:footer="0" w:header="0"/>
        </w:sectPr>
      </w:pPr>
    </w:p>
    <w:bookmarkStart w:id="8" w:name="page9"/>
    <w:bookmarkEnd w:id="8"/>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2026-05-26T13:02:26Z</dcterms:created>
  <dcterms:modified xsi:type="dcterms:W3CDTF">2026-05-26T13:02:26Z</dcterms:modified>
</cp:coreProperties>
</file>